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jc w:val="center"/>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4503"/>
        <w:gridCol w:w="5528"/>
      </w:tblGrid>
      <w:tr w:rsidR="00F95A35" w:rsidRPr="009062F6" w14:paraId="19C7005C" w14:textId="77777777" w:rsidTr="00755D39">
        <w:trPr>
          <w:trHeight w:val="416"/>
          <w:jc w:val="center"/>
        </w:trPr>
        <w:tc>
          <w:tcPr>
            <w:tcW w:w="10031" w:type="dxa"/>
            <w:gridSpan w:val="2"/>
            <w:vAlign w:val="center"/>
          </w:tcPr>
          <w:p w14:paraId="6EAFA494" w14:textId="77777777" w:rsidR="00F95A35" w:rsidRPr="009062F6" w:rsidRDefault="00D77BC6" w:rsidP="003A2581">
            <w:pPr>
              <w:jc w:val="center"/>
              <w:rPr>
                <w:rFonts w:asciiTheme="minorHAnsi" w:hAnsiTheme="minorHAnsi" w:cs="Arial"/>
                <w:b/>
                <w:sz w:val="20"/>
              </w:rPr>
            </w:pPr>
            <w:r w:rsidRPr="009062F6">
              <w:rPr>
                <w:rFonts w:asciiTheme="minorHAnsi" w:hAnsiTheme="minorHAnsi" w:cs="Arial"/>
                <w:b/>
                <w:sz w:val="20"/>
              </w:rPr>
              <w:t xml:space="preserve">OBRAZAC </w:t>
            </w:r>
          </w:p>
          <w:p w14:paraId="68EAFBB3" w14:textId="5D669DD6" w:rsidR="00D77BC6" w:rsidRPr="009062F6" w:rsidRDefault="009062F6" w:rsidP="00E852F3">
            <w:pPr>
              <w:jc w:val="center"/>
              <w:rPr>
                <w:rFonts w:asciiTheme="minorHAnsi" w:hAnsiTheme="minorHAnsi" w:cs="Arial"/>
                <w:b/>
                <w:sz w:val="20"/>
              </w:rPr>
            </w:pPr>
            <w:r w:rsidRPr="009062F6">
              <w:rPr>
                <w:rFonts w:asciiTheme="minorHAnsi" w:hAnsiTheme="minorHAnsi" w:cs="Arial"/>
                <w:b/>
                <w:sz w:val="20"/>
              </w:rPr>
              <w:t>s</w:t>
            </w:r>
            <w:r w:rsidR="00D77BC6" w:rsidRPr="009062F6">
              <w:rPr>
                <w:rFonts w:asciiTheme="minorHAnsi" w:hAnsiTheme="minorHAnsi" w:cs="Arial"/>
                <w:b/>
                <w:sz w:val="20"/>
              </w:rPr>
              <w:t xml:space="preserve">udjelovanja javnosti u savjetovanju o </w:t>
            </w:r>
            <w:r w:rsidR="00890E82" w:rsidRPr="00890E82">
              <w:rPr>
                <w:rFonts w:asciiTheme="minorHAnsi" w:hAnsiTheme="minorHAnsi" w:cs="Arial"/>
                <w:b/>
                <w:sz w:val="20"/>
              </w:rPr>
              <w:t>Nacrt</w:t>
            </w:r>
            <w:r w:rsidR="00890E82">
              <w:rPr>
                <w:rFonts w:asciiTheme="minorHAnsi" w:hAnsiTheme="minorHAnsi" w:cs="Arial"/>
                <w:b/>
                <w:sz w:val="20"/>
              </w:rPr>
              <w:t>u</w:t>
            </w:r>
            <w:r w:rsidR="00890E82" w:rsidRPr="00890E82">
              <w:rPr>
                <w:rFonts w:asciiTheme="minorHAnsi" w:hAnsiTheme="minorHAnsi" w:cs="Arial"/>
                <w:b/>
                <w:sz w:val="20"/>
              </w:rPr>
              <w:t xml:space="preserve"> prijedloga Godišnjeg Provedbenog plana unapređenja zaštite od požara na području Grada Zaprešića za 2026. godinu</w:t>
            </w:r>
          </w:p>
        </w:tc>
      </w:tr>
      <w:tr w:rsidR="00FF122F" w:rsidRPr="009062F6" w14:paraId="04DDECA3" w14:textId="77777777" w:rsidTr="00755D39">
        <w:trPr>
          <w:trHeight w:val="415"/>
          <w:jc w:val="center"/>
        </w:trPr>
        <w:tc>
          <w:tcPr>
            <w:tcW w:w="4503" w:type="dxa"/>
            <w:vAlign w:val="center"/>
          </w:tcPr>
          <w:p w14:paraId="5DE4C162" w14:textId="361A0E85" w:rsidR="00FF122F" w:rsidRPr="009062F6" w:rsidRDefault="00FF122F" w:rsidP="00FF122F">
            <w:pPr>
              <w:rPr>
                <w:rFonts w:asciiTheme="minorHAnsi" w:hAnsiTheme="minorHAnsi" w:cs="Arial"/>
                <w:sz w:val="20"/>
              </w:rPr>
            </w:pPr>
            <w:r w:rsidRPr="009062F6">
              <w:rPr>
                <w:rFonts w:asciiTheme="minorHAnsi" w:hAnsiTheme="minorHAnsi" w:cs="Arial"/>
                <w:sz w:val="20"/>
              </w:rPr>
              <w:t>Naziv akta o kojem je savjetovanje prov</w:t>
            </w:r>
            <w:r w:rsidR="002C5BCD">
              <w:rPr>
                <w:rFonts w:asciiTheme="minorHAnsi" w:hAnsiTheme="minorHAnsi" w:cs="Arial"/>
                <w:sz w:val="20"/>
              </w:rPr>
              <w:t>odi</w:t>
            </w:r>
            <w:r w:rsidRPr="009062F6">
              <w:rPr>
                <w:rFonts w:asciiTheme="minorHAnsi" w:hAnsiTheme="minorHAnsi" w:cs="Arial"/>
                <w:sz w:val="20"/>
              </w:rPr>
              <w:t>:</w:t>
            </w:r>
          </w:p>
        </w:tc>
        <w:tc>
          <w:tcPr>
            <w:tcW w:w="5528" w:type="dxa"/>
            <w:vAlign w:val="center"/>
          </w:tcPr>
          <w:p w14:paraId="18FB89B0" w14:textId="0CD8B756" w:rsidR="00FF122F" w:rsidRPr="009062F6" w:rsidRDefault="00983714" w:rsidP="00E852F3">
            <w:pPr>
              <w:rPr>
                <w:rFonts w:asciiTheme="minorHAnsi" w:hAnsiTheme="minorHAnsi" w:cs="Arial"/>
                <w:bCs/>
                <w:sz w:val="20"/>
              </w:rPr>
            </w:pPr>
            <w:r w:rsidRPr="00983714">
              <w:rPr>
                <w:rFonts w:asciiTheme="minorHAnsi" w:hAnsiTheme="minorHAnsi" w:cs="Arial"/>
                <w:bCs/>
                <w:sz w:val="20"/>
              </w:rPr>
              <w:t xml:space="preserve">Nacrt </w:t>
            </w:r>
            <w:r w:rsidR="00890E82">
              <w:rPr>
                <w:rFonts w:asciiTheme="minorHAnsi" w:hAnsiTheme="minorHAnsi" w:cs="Arial"/>
                <w:bCs/>
                <w:sz w:val="20"/>
              </w:rPr>
              <w:t xml:space="preserve">prijedloga Godišnjeg Provedbenog plana </w:t>
            </w:r>
            <w:r w:rsidR="00890E82" w:rsidRPr="00890E82">
              <w:rPr>
                <w:rFonts w:asciiTheme="minorHAnsi" w:hAnsiTheme="minorHAnsi" w:cs="Arial"/>
                <w:bCs/>
                <w:sz w:val="20"/>
              </w:rPr>
              <w:t>unapređenja zaštite od požara na području Grada Zaprešića za 2026. godinu</w:t>
            </w:r>
          </w:p>
        </w:tc>
      </w:tr>
      <w:tr w:rsidR="00FF122F" w:rsidRPr="009062F6" w14:paraId="3A5AF754" w14:textId="77777777" w:rsidTr="00755D39">
        <w:trPr>
          <w:trHeight w:val="845"/>
          <w:jc w:val="center"/>
        </w:trPr>
        <w:tc>
          <w:tcPr>
            <w:tcW w:w="4503" w:type="dxa"/>
            <w:tcBorders>
              <w:bottom w:val="single" w:sz="12" w:space="0" w:color="auto"/>
            </w:tcBorders>
            <w:vAlign w:val="center"/>
          </w:tcPr>
          <w:p w14:paraId="11B05C5D" w14:textId="503651CE" w:rsidR="00FF122F" w:rsidRPr="009062F6" w:rsidRDefault="00FF122F" w:rsidP="0085722B">
            <w:pPr>
              <w:pStyle w:val="Bezproreda"/>
              <w:jc w:val="both"/>
              <w:rPr>
                <w:rFonts w:asciiTheme="minorHAnsi" w:hAnsiTheme="minorHAnsi" w:cs="Arial"/>
                <w:sz w:val="20"/>
                <w:szCs w:val="20"/>
              </w:rPr>
            </w:pPr>
            <w:r w:rsidRPr="009062F6">
              <w:rPr>
                <w:rFonts w:asciiTheme="minorHAnsi" w:hAnsiTheme="minorHAnsi" w:cs="Arial"/>
                <w:sz w:val="20"/>
                <w:szCs w:val="20"/>
              </w:rPr>
              <w:t xml:space="preserve">Vrijeme trajanja savjetovanja: </w:t>
            </w:r>
          </w:p>
        </w:tc>
        <w:tc>
          <w:tcPr>
            <w:tcW w:w="5528" w:type="dxa"/>
            <w:tcBorders>
              <w:bottom w:val="single" w:sz="12" w:space="0" w:color="auto"/>
            </w:tcBorders>
            <w:vAlign w:val="center"/>
          </w:tcPr>
          <w:p w14:paraId="50CBED49" w14:textId="6748A66B" w:rsidR="00FF122F" w:rsidRPr="00C66762" w:rsidRDefault="00890E82" w:rsidP="0085722B">
            <w:pPr>
              <w:pStyle w:val="Bezproreda"/>
              <w:jc w:val="both"/>
              <w:rPr>
                <w:rFonts w:asciiTheme="minorHAnsi" w:hAnsiTheme="minorHAnsi" w:cs="Arial"/>
                <w:color w:val="FF0000"/>
                <w:sz w:val="20"/>
                <w:szCs w:val="20"/>
              </w:rPr>
            </w:pPr>
            <w:r>
              <w:rPr>
                <w:rFonts w:asciiTheme="minorHAnsi" w:hAnsiTheme="minorHAnsi" w:cs="Arial"/>
                <w:sz w:val="20"/>
                <w:szCs w:val="20"/>
              </w:rPr>
              <w:t>13</w:t>
            </w:r>
            <w:r w:rsidR="00D77BC6" w:rsidRPr="003109D1">
              <w:rPr>
                <w:rFonts w:asciiTheme="minorHAnsi" w:hAnsiTheme="minorHAnsi" w:cs="Arial"/>
                <w:sz w:val="20"/>
                <w:szCs w:val="20"/>
              </w:rPr>
              <w:t>.</w:t>
            </w:r>
            <w:r w:rsidR="009F4A64">
              <w:rPr>
                <w:rFonts w:asciiTheme="minorHAnsi" w:hAnsiTheme="minorHAnsi" w:cs="Arial"/>
                <w:sz w:val="20"/>
                <w:szCs w:val="20"/>
              </w:rPr>
              <w:t>01</w:t>
            </w:r>
            <w:r w:rsidR="00126BFB" w:rsidRPr="003109D1">
              <w:rPr>
                <w:rFonts w:asciiTheme="minorHAnsi" w:hAnsiTheme="minorHAnsi" w:cs="Arial"/>
                <w:sz w:val="20"/>
                <w:szCs w:val="20"/>
              </w:rPr>
              <w:t>.</w:t>
            </w:r>
            <w:r w:rsidR="00FF122F" w:rsidRPr="003109D1">
              <w:rPr>
                <w:rFonts w:asciiTheme="minorHAnsi" w:hAnsiTheme="minorHAnsi" w:cs="Arial"/>
                <w:sz w:val="20"/>
                <w:szCs w:val="20"/>
              </w:rPr>
              <w:t>202</w:t>
            </w:r>
            <w:r w:rsidR="009903A2">
              <w:rPr>
                <w:rFonts w:asciiTheme="minorHAnsi" w:hAnsiTheme="minorHAnsi" w:cs="Arial"/>
                <w:sz w:val="20"/>
                <w:szCs w:val="20"/>
              </w:rPr>
              <w:t>6</w:t>
            </w:r>
            <w:r w:rsidR="00FF122F" w:rsidRPr="003109D1">
              <w:rPr>
                <w:rFonts w:asciiTheme="minorHAnsi" w:hAnsiTheme="minorHAnsi" w:cs="Arial"/>
                <w:sz w:val="20"/>
                <w:szCs w:val="20"/>
              </w:rPr>
              <w:t xml:space="preserve">. – </w:t>
            </w:r>
            <w:r>
              <w:rPr>
                <w:rFonts w:asciiTheme="minorHAnsi" w:hAnsiTheme="minorHAnsi" w:cs="Arial"/>
                <w:sz w:val="20"/>
                <w:szCs w:val="20"/>
              </w:rPr>
              <w:t>12</w:t>
            </w:r>
            <w:r w:rsidR="002C5BCD" w:rsidRPr="003109D1">
              <w:rPr>
                <w:rFonts w:asciiTheme="minorHAnsi" w:hAnsiTheme="minorHAnsi" w:cs="Arial"/>
                <w:sz w:val="20"/>
                <w:szCs w:val="20"/>
              </w:rPr>
              <w:t>.</w:t>
            </w:r>
            <w:r w:rsidR="009F4A64">
              <w:rPr>
                <w:rFonts w:asciiTheme="minorHAnsi" w:hAnsiTheme="minorHAnsi" w:cs="Arial"/>
                <w:sz w:val="20"/>
                <w:szCs w:val="20"/>
              </w:rPr>
              <w:t>0</w:t>
            </w:r>
            <w:r>
              <w:rPr>
                <w:rFonts w:asciiTheme="minorHAnsi" w:hAnsiTheme="minorHAnsi" w:cs="Arial"/>
                <w:sz w:val="20"/>
                <w:szCs w:val="20"/>
              </w:rPr>
              <w:t>2</w:t>
            </w:r>
            <w:r w:rsidR="00126BFB" w:rsidRPr="003109D1">
              <w:rPr>
                <w:rFonts w:asciiTheme="minorHAnsi" w:hAnsiTheme="minorHAnsi" w:cs="Arial"/>
                <w:sz w:val="20"/>
                <w:szCs w:val="20"/>
              </w:rPr>
              <w:t>.</w:t>
            </w:r>
            <w:r w:rsidR="00FF122F" w:rsidRPr="003109D1">
              <w:rPr>
                <w:rFonts w:asciiTheme="minorHAnsi" w:hAnsiTheme="minorHAnsi" w:cs="Arial"/>
                <w:sz w:val="20"/>
                <w:szCs w:val="20"/>
              </w:rPr>
              <w:t>202</w:t>
            </w:r>
            <w:r>
              <w:rPr>
                <w:rFonts w:asciiTheme="minorHAnsi" w:hAnsiTheme="minorHAnsi" w:cs="Arial"/>
                <w:sz w:val="20"/>
                <w:szCs w:val="20"/>
              </w:rPr>
              <w:t>6</w:t>
            </w:r>
            <w:r w:rsidR="00FF122F" w:rsidRPr="003109D1">
              <w:rPr>
                <w:rFonts w:asciiTheme="minorHAnsi" w:hAnsiTheme="minorHAnsi" w:cs="Arial"/>
                <w:sz w:val="20"/>
                <w:szCs w:val="20"/>
              </w:rPr>
              <w:t>.</w:t>
            </w:r>
          </w:p>
        </w:tc>
      </w:tr>
      <w:tr w:rsidR="00F95A35" w:rsidRPr="009062F6" w14:paraId="7193E265" w14:textId="77777777" w:rsidTr="00755D39">
        <w:trPr>
          <w:trHeight w:val="845"/>
          <w:jc w:val="center"/>
        </w:trPr>
        <w:tc>
          <w:tcPr>
            <w:tcW w:w="4503" w:type="dxa"/>
            <w:tcBorders>
              <w:top w:val="single" w:sz="12" w:space="0" w:color="auto"/>
              <w:bottom w:val="single" w:sz="12" w:space="0" w:color="auto"/>
            </w:tcBorders>
            <w:vAlign w:val="center"/>
          </w:tcPr>
          <w:p w14:paraId="4ECF1F97" w14:textId="52A66742" w:rsidR="00F95A35" w:rsidRPr="009062F6" w:rsidRDefault="00FF122F" w:rsidP="00FF122F">
            <w:pPr>
              <w:rPr>
                <w:rFonts w:asciiTheme="minorHAnsi" w:hAnsiTheme="minorHAnsi" w:cs="Arial"/>
                <w:sz w:val="20"/>
              </w:rPr>
            </w:pPr>
            <w:r w:rsidRPr="009062F6">
              <w:rPr>
                <w:rFonts w:asciiTheme="minorHAnsi" w:hAnsiTheme="minorHAnsi" w:cs="Arial"/>
                <w:sz w:val="20"/>
              </w:rPr>
              <w:t xml:space="preserve">Naziv gradskog upravnog tijela nadležnog za izradu nacrta: </w:t>
            </w:r>
          </w:p>
        </w:tc>
        <w:tc>
          <w:tcPr>
            <w:tcW w:w="5528" w:type="dxa"/>
            <w:tcBorders>
              <w:top w:val="single" w:sz="12" w:space="0" w:color="auto"/>
              <w:bottom w:val="single" w:sz="12" w:space="0" w:color="auto"/>
            </w:tcBorders>
            <w:vAlign w:val="bottom"/>
          </w:tcPr>
          <w:p w14:paraId="7AFBC808" w14:textId="3EA7DD20" w:rsidR="00F95A35" w:rsidRPr="009062F6" w:rsidRDefault="00F5612B" w:rsidP="003A2581">
            <w:pPr>
              <w:pStyle w:val="Default"/>
              <w:rPr>
                <w:rFonts w:asciiTheme="minorHAnsi" w:hAnsiTheme="minorHAnsi"/>
                <w:sz w:val="20"/>
                <w:szCs w:val="20"/>
              </w:rPr>
            </w:pPr>
            <w:r>
              <w:rPr>
                <w:rFonts w:asciiTheme="minorHAnsi" w:hAnsiTheme="minorHAnsi"/>
                <w:sz w:val="20"/>
                <w:szCs w:val="20"/>
              </w:rPr>
              <w:t xml:space="preserve">Upravni odjel za </w:t>
            </w:r>
            <w:r w:rsidR="0029796E">
              <w:rPr>
                <w:rFonts w:asciiTheme="minorHAnsi" w:hAnsiTheme="minorHAnsi"/>
                <w:sz w:val="20"/>
                <w:szCs w:val="20"/>
              </w:rPr>
              <w:t>financije i gospodarski razvoj</w:t>
            </w:r>
          </w:p>
          <w:p w14:paraId="7732C3F1" w14:textId="77777777" w:rsidR="00F95A35" w:rsidRPr="009062F6" w:rsidRDefault="00F95A35" w:rsidP="003A2581">
            <w:pPr>
              <w:rPr>
                <w:rFonts w:asciiTheme="minorHAnsi" w:hAnsiTheme="minorHAnsi" w:cs="Arial"/>
                <w:sz w:val="20"/>
              </w:rPr>
            </w:pPr>
          </w:p>
        </w:tc>
      </w:tr>
      <w:tr w:rsidR="003B7C7D" w:rsidRPr="009062F6" w14:paraId="577E515E" w14:textId="77777777" w:rsidTr="00755D39">
        <w:trPr>
          <w:trHeight w:val="529"/>
          <w:jc w:val="center"/>
        </w:trPr>
        <w:tc>
          <w:tcPr>
            <w:tcW w:w="4503" w:type="dxa"/>
            <w:tcBorders>
              <w:top w:val="single" w:sz="12" w:space="0" w:color="auto"/>
              <w:bottom w:val="single" w:sz="12" w:space="0" w:color="auto"/>
            </w:tcBorders>
            <w:vAlign w:val="center"/>
          </w:tcPr>
          <w:p w14:paraId="1AF4552F" w14:textId="54D4321B" w:rsidR="003B7C7D" w:rsidRPr="009062F6" w:rsidRDefault="00FF122F" w:rsidP="00FF122F">
            <w:pPr>
              <w:rPr>
                <w:rFonts w:asciiTheme="minorHAnsi" w:hAnsiTheme="minorHAnsi" w:cs="Arial"/>
                <w:sz w:val="20"/>
              </w:rPr>
            </w:pPr>
            <w:r w:rsidRPr="009062F6">
              <w:rPr>
                <w:rFonts w:asciiTheme="minorHAnsi" w:hAnsiTheme="minorHAnsi" w:cs="Arial"/>
                <w:sz w:val="20"/>
              </w:rPr>
              <w:t>Metoda savjetovanja:</w:t>
            </w:r>
          </w:p>
        </w:tc>
        <w:tc>
          <w:tcPr>
            <w:tcW w:w="5528" w:type="dxa"/>
            <w:tcBorders>
              <w:top w:val="single" w:sz="12" w:space="0" w:color="auto"/>
              <w:bottom w:val="single" w:sz="12" w:space="0" w:color="auto"/>
            </w:tcBorders>
            <w:vAlign w:val="center"/>
          </w:tcPr>
          <w:p w14:paraId="2A74A22D" w14:textId="5E97D12D" w:rsidR="003B7C7D" w:rsidRPr="009062F6" w:rsidRDefault="00FF122F" w:rsidP="003A2581">
            <w:pPr>
              <w:pStyle w:val="Default"/>
              <w:rPr>
                <w:rFonts w:asciiTheme="minorHAnsi" w:hAnsiTheme="minorHAnsi"/>
                <w:sz w:val="20"/>
                <w:szCs w:val="20"/>
              </w:rPr>
            </w:pPr>
            <w:r w:rsidRPr="009062F6">
              <w:rPr>
                <w:rFonts w:asciiTheme="minorHAnsi" w:hAnsiTheme="minorHAnsi"/>
                <w:sz w:val="20"/>
                <w:szCs w:val="20"/>
              </w:rPr>
              <w:t>Internetsko savjetovanje</w:t>
            </w:r>
          </w:p>
        </w:tc>
      </w:tr>
      <w:tr w:rsidR="00D77BC6" w:rsidRPr="009062F6" w14:paraId="727036FC" w14:textId="77777777" w:rsidTr="00755D39">
        <w:trPr>
          <w:trHeight w:val="845"/>
          <w:jc w:val="center"/>
        </w:trPr>
        <w:tc>
          <w:tcPr>
            <w:tcW w:w="4503" w:type="dxa"/>
            <w:tcBorders>
              <w:top w:val="single" w:sz="12" w:space="0" w:color="auto"/>
              <w:bottom w:val="single" w:sz="12" w:space="0" w:color="auto"/>
            </w:tcBorders>
            <w:vAlign w:val="center"/>
          </w:tcPr>
          <w:p w14:paraId="558DA486" w14:textId="71921746" w:rsidR="00D77BC6" w:rsidRPr="009062F6" w:rsidRDefault="00D77BC6" w:rsidP="00FF122F">
            <w:pPr>
              <w:rPr>
                <w:rFonts w:asciiTheme="minorHAnsi" w:hAnsiTheme="minorHAnsi" w:cs="Arial"/>
                <w:sz w:val="20"/>
              </w:rPr>
            </w:pPr>
            <w:r w:rsidRPr="009062F6">
              <w:rPr>
                <w:rFonts w:asciiTheme="minorHAnsi" w:hAnsiTheme="minorHAnsi" w:cs="Arial"/>
                <w:sz w:val="20"/>
              </w:rPr>
              <w:t>Obrazloženje:</w:t>
            </w:r>
          </w:p>
        </w:tc>
        <w:tc>
          <w:tcPr>
            <w:tcW w:w="5528" w:type="dxa"/>
            <w:tcBorders>
              <w:top w:val="single" w:sz="12" w:space="0" w:color="auto"/>
              <w:bottom w:val="single" w:sz="12" w:space="0" w:color="auto"/>
            </w:tcBorders>
            <w:vAlign w:val="center"/>
          </w:tcPr>
          <w:p w14:paraId="5472BC3B" w14:textId="7641F7FE" w:rsidR="00890E82" w:rsidRPr="00890E82" w:rsidRDefault="00890E82" w:rsidP="00890E82">
            <w:pPr>
              <w:pStyle w:val="Default"/>
              <w:jc w:val="both"/>
              <w:rPr>
                <w:rFonts w:asciiTheme="minorHAnsi" w:hAnsiTheme="minorHAnsi"/>
                <w:sz w:val="18"/>
                <w:szCs w:val="18"/>
              </w:rPr>
            </w:pPr>
            <w:r w:rsidRPr="00890E82">
              <w:rPr>
                <w:rFonts w:asciiTheme="minorHAnsi" w:hAnsiTheme="minorHAnsi"/>
                <w:sz w:val="18"/>
                <w:szCs w:val="18"/>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Županijska skupština Zagrebačke županije na 4. sjednici, održanoj dana 16. prosinca 2025. godine, donijela je Godišnji plan unapređenja zaštite od požara za područje Zagrebačke županije za 2026. godinu.</w:t>
            </w:r>
          </w:p>
          <w:p w14:paraId="7290278C" w14:textId="5BD3CDF2" w:rsidR="00890E82" w:rsidRPr="00890E82" w:rsidRDefault="00890E82" w:rsidP="00890E82">
            <w:pPr>
              <w:pStyle w:val="Default"/>
              <w:jc w:val="both"/>
              <w:rPr>
                <w:rFonts w:asciiTheme="minorHAnsi" w:hAnsiTheme="minorHAnsi"/>
                <w:sz w:val="18"/>
                <w:szCs w:val="18"/>
              </w:rPr>
            </w:pPr>
            <w:r w:rsidRPr="00890E82">
              <w:rPr>
                <w:rFonts w:asciiTheme="minorHAnsi" w:hAnsiTheme="minorHAnsi"/>
                <w:sz w:val="18"/>
                <w:szCs w:val="18"/>
              </w:rPr>
              <w:t xml:space="preserve">Cilj donošenja predmetnog dokumenta je postizanje što učinkovitije i efikasnije razine zaštite od požara na području Grada Zaprešića u 2026. godini. Kako bi se unaprijedilo provođenje zaštite od požara na području Grada Zaprešića nacrtom Godišnjeg provedbenog plana utvrđene su mjere za postizanje istog. Svaka mjera definirana je kratkim opisom koje se želi ostvariti, prikazom izvršitelja i sudionika u provedbi. Po donošenju predmetnog dokumenta isti će se dostaviti izvršiteljima i sudionicima na provedbu. </w:t>
            </w:r>
          </w:p>
          <w:p w14:paraId="35ED7A0E" w14:textId="1F4A08D8" w:rsidR="00250AE3" w:rsidRPr="002C5BCD" w:rsidRDefault="00890E82" w:rsidP="00890E82">
            <w:pPr>
              <w:pStyle w:val="Default"/>
              <w:jc w:val="both"/>
              <w:rPr>
                <w:rFonts w:asciiTheme="minorHAnsi" w:hAnsiTheme="minorHAnsi"/>
                <w:sz w:val="18"/>
                <w:szCs w:val="18"/>
              </w:rPr>
            </w:pPr>
            <w:r w:rsidRPr="00890E82">
              <w:rPr>
                <w:rFonts w:asciiTheme="minorHAnsi" w:hAnsiTheme="minorHAnsi"/>
                <w:sz w:val="18"/>
                <w:szCs w:val="18"/>
              </w:rPr>
              <w:t>Odredbom članka 13. stavka 9. Zakona o zaštiti od požara propisano je da su jedinice lokalne i područne (regionalne) samouprave u donošenju godišnjeg provedbenog plana unaprjeđenja zaštite od požara dužne osigurati sudjelovanje javnosti.</w:t>
            </w:r>
          </w:p>
        </w:tc>
      </w:tr>
      <w:tr w:rsidR="009062F6" w:rsidRPr="009062F6" w14:paraId="4F765174" w14:textId="77777777" w:rsidTr="00755D39">
        <w:trPr>
          <w:trHeight w:val="845"/>
          <w:jc w:val="center"/>
        </w:trPr>
        <w:tc>
          <w:tcPr>
            <w:tcW w:w="4503" w:type="dxa"/>
            <w:tcBorders>
              <w:top w:val="single" w:sz="12" w:space="0" w:color="auto"/>
              <w:bottom w:val="single" w:sz="12" w:space="0" w:color="auto"/>
            </w:tcBorders>
            <w:vAlign w:val="center"/>
          </w:tcPr>
          <w:p w14:paraId="17EE565C" w14:textId="50C3E9E1" w:rsidR="009062F6" w:rsidRPr="009062F6" w:rsidRDefault="009062F6" w:rsidP="00FF122F">
            <w:pPr>
              <w:rPr>
                <w:rFonts w:asciiTheme="minorHAnsi" w:hAnsiTheme="minorHAnsi" w:cs="Arial"/>
                <w:sz w:val="20"/>
              </w:rPr>
            </w:pPr>
            <w:r w:rsidRPr="009062F6">
              <w:rPr>
                <w:rFonts w:asciiTheme="minorHAnsi" w:hAnsiTheme="minorHAnsi" w:cs="Arial"/>
                <w:sz w:val="20"/>
              </w:rPr>
              <w:t>Ime i prezime osobe odnosno naziv predstavnika zainteresirane javnosti koja daje svoje primjedbe i prijedloge na predloženi nacrt:</w:t>
            </w:r>
          </w:p>
        </w:tc>
        <w:tc>
          <w:tcPr>
            <w:tcW w:w="5528" w:type="dxa"/>
            <w:tcBorders>
              <w:top w:val="single" w:sz="12" w:space="0" w:color="auto"/>
              <w:bottom w:val="single" w:sz="12" w:space="0" w:color="auto"/>
            </w:tcBorders>
            <w:vAlign w:val="center"/>
          </w:tcPr>
          <w:p w14:paraId="2D73D31A" w14:textId="77777777" w:rsidR="009062F6" w:rsidRPr="009062F6" w:rsidRDefault="009062F6" w:rsidP="003A2581">
            <w:pPr>
              <w:pStyle w:val="Default"/>
              <w:rPr>
                <w:rFonts w:asciiTheme="minorHAnsi" w:hAnsiTheme="minorHAnsi"/>
                <w:sz w:val="20"/>
                <w:szCs w:val="20"/>
              </w:rPr>
            </w:pPr>
          </w:p>
        </w:tc>
      </w:tr>
      <w:tr w:rsidR="009062F6" w:rsidRPr="009062F6" w14:paraId="50A79A98" w14:textId="77777777" w:rsidTr="00755D39">
        <w:trPr>
          <w:trHeight w:val="845"/>
          <w:jc w:val="center"/>
        </w:trPr>
        <w:tc>
          <w:tcPr>
            <w:tcW w:w="4503" w:type="dxa"/>
            <w:tcBorders>
              <w:top w:val="single" w:sz="12" w:space="0" w:color="auto"/>
              <w:bottom w:val="single" w:sz="12" w:space="0" w:color="auto"/>
            </w:tcBorders>
            <w:vAlign w:val="center"/>
          </w:tcPr>
          <w:p w14:paraId="08B22AA9" w14:textId="7A455467" w:rsidR="009062F6" w:rsidRPr="009062F6" w:rsidRDefault="009062F6" w:rsidP="00FF122F">
            <w:pPr>
              <w:rPr>
                <w:rFonts w:asciiTheme="minorHAnsi" w:hAnsiTheme="minorHAnsi" w:cs="Arial"/>
                <w:sz w:val="20"/>
              </w:rPr>
            </w:pPr>
            <w:r w:rsidRPr="009062F6">
              <w:rPr>
                <w:rFonts w:asciiTheme="minorHAnsi" w:hAnsiTheme="minorHAnsi" w:cs="Arial"/>
                <w:sz w:val="20"/>
              </w:rPr>
              <w:t>Načelne primjedbe i prijedlozi na predloženi nacrt akta s obrazloženjem:</w:t>
            </w:r>
          </w:p>
        </w:tc>
        <w:tc>
          <w:tcPr>
            <w:tcW w:w="5528" w:type="dxa"/>
            <w:tcBorders>
              <w:top w:val="single" w:sz="12" w:space="0" w:color="auto"/>
              <w:bottom w:val="single" w:sz="12" w:space="0" w:color="auto"/>
            </w:tcBorders>
            <w:vAlign w:val="center"/>
          </w:tcPr>
          <w:p w14:paraId="361B4EB7" w14:textId="77777777" w:rsidR="009062F6" w:rsidRPr="009062F6" w:rsidRDefault="009062F6" w:rsidP="003A2581">
            <w:pPr>
              <w:pStyle w:val="Default"/>
              <w:rPr>
                <w:rFonts w:asciiTheme="minorHAnsi" w:hAnsiTheme="minorHAnsi"/>
                <w:sz w:val="20"/>
                <w:szCs w:val="20"/>
              </w:rPr>
            </w:pPr>
          </w:p>
        </w:tc>
      </w:tr>
      <w:tr w:rsidR="009062F6" w:rsidRPr="009062F6" w14:paraId="2FDFE212" w14:textId="77777777" w:rsidTr="00755D39">
        <w:trPr>
          <w:trHeight w:val="845"/>
          <w:jc w:val="center"/>
        </w:trPr>
        <w:tc>
          <w:tcPr>
            <w:tcW w:w="4503" w:type="dxa"/>
            <w:tcBorders>
              <w:top w:val="single" w:sz="12" w:space="0" w:color="auto"/>
              <w:bottom w:val="single" w:sz="12" w:space="0" w:color="auto"/>
            </w:tcBorders>
            <w:vAlign w:val="center"/>
          </w:tcPr>
          <w:p w14:paraId="3F4E248A" w14:textId="3CDCB62B" w:rsidR="009062F6" w:rsidRPr="009062F6" w:rsidRDefault="009062F6" w:rsidP="00FF122F">
            <w:pPr>
              <w:rPr>
                <w:rFonts w:asciiTheme="minorHAnsi" w:hAnsiTheme="minorHAnsi" w:cs="Arial"/>
                <w:sz w:val="20"/>
              </w:rPr>
            </w:pPr>
            <w:r w:rsidRPr="009062F6">
              <w:rPr>
                <w:rFonts w:asciiTheme="minorHAnsi" w:hAnsiTheme="minorHAnsi" w:cs="Arial"/>
                <w:sz w:val="20"/>
              </w:rPr>
              <w:t>Primjedbe i prijedlozi na pojedine članke nacrta prijedloga akta s obrazloženjem:</w:t>
            </w:r>
          </w:p>
        </w:tc>
        <w:tc>
          <w:tcPr>
            <w:tcW w:w="5528" w:type="dxa"/>
            <w:tcBorders>
              <w:top w:val="single" w:sz="12" w:space="0" w:color="auto"/>
              <w:bottom w:val="single" w:sz="12" w:space="0" w:color="auto"/>
            </w:tcBorders>
            <w:vAlign w:val="center"/>
          </w:tcPr>
          <w:p w14:paraId="33DC9228" w14:textId="77777777" w:rsidR="009062F6" w:rsidRPr="009062F6" w:rsidRDefault="009062F6" w:rsidP="003A2581">
            <w:pPr>
              <w:pStyle w:val="Default"/>
              <w:rPr>
                <w:rFonts w:asciiTheme="minorHAnsi" w:hAnsiTheme="minorHAnsi"/>
                <w:sz w:val="20"/>
                <w:szCs w:val="20"/>
              </w:rPr>
            </w:pPr>
          </w:p>
        </w:tc>
      </w:tr>
      <w:tr w:rsidR="009062F6" w:rsidRPr="009062F6" w14:paraId="251BD3E3" w14:textId="77777777" w:rsidTr="00755D39">
        <w:trPr>
          <w:trHeight w:val="845"/>
          <w:jc w:val="center"/>
        </w:trPr>
        <w:tc>
          <w:tcPr>
            <w:tcW w:w="4503" w:type="dxa"/>
            <w:tcBorders>
              <w:top w:val="single" w:sz="12" w:space="0" w:color="auto"/>
              <w:bottom w:val="single" w:sz="12" w:space="0" w:color="auto"/>
            </w:tcBorders>
            <w:vAlign w:val="center"/>
          </w:tcPr>
          <w:p w14:paraId="4058969B" w14:textId="0EC87FD5" w:rsidR="009062F6" w:rsidRPr="009062F6" w:rsidRDefault="009062F6" w:rsidP="00FF122F">
            <w:pPr>
              <w:rPr>
                <w:rFonts w:asciiTheme="minorHAnsi" w:hAnsiTheme="minorHAnsi" w:cs="Arial"/>
                <w:sz w:val="20"/>
              </w:rPr>
            </w:pPr>
            <w:r w:rsidRPr="009062F6">
              <w:rPr>
                <w:rFonts w:asciiTheme="minorHAnsi" w:hAnsiTheme="minorHAnsi" w:cs="Arial"/>
                <w:sz w:val="20"/>
              </w:rPr>
              <w:t>Ime i prezime osobe (ili osoba) koja je sastavljala primjedbe i prijedloge ili osobe koja predstavlja zainteresiranu javnost, e-mail ili drugi podaci za kontakt:</w:t>
            </w:r>
          </w:p>
        </w:tc>
        <w:tc>
          <w:tcPr>
            <w:tcW w:w="5528" w:type="dxa"/>
            <w:tcBorders>
              <w:top w:val="single" w:sz="12" w:space="0" w:color="auto"/>
              <w:bottom w:val="single" w:sz="12" w:space="0" w:color="auto"/>
            </w:tcBorders>
            <w:vAlign w:val="center"/>
          </w:tcPr>
          <w:p w14:paraId="21967BE5" w14:textId="77777777" w:rsidR="009062F6" w:rsidRPr="009062F6" w:rsidRDefault="009062F6" w:rsidP="003A2581">
            <w:pPr>
              <w:pStyle w:val="Default"/>
              <w:rPr>
                <w:rFonts w:asciiTheme="minorHAnsi" w:hAnsiTheme="minorHAnsi"/>
                <w:sz w:val="20"/>
                <w:szCs w:val="20"/>
              </w:rPr>
            </w:pPr>
          </w:p>
        </w:tc>
      </w:tr>
      <w:tr w:rsidR="009062F6" w:rsidRPr="009062F6" w14:paraId="648E844B" w14:textId="77777777" w:rsidTr="00755D39">
        <w:trPr>
          <w:trHeight w:val="562"/>
          <w:jc w:val="center"/>
        </w:trPr>
        <w:tc>
          <w:tcPr>
            <w:tcW w:w="4503" w:type="dxa"/>
            <w:tcBorders>
              <w:top w:val="single" w:sz="12" w:space="0" w:color="auto"/>
              <w:bottom w:val="single" w:sz="18" w:space="0" w:color="auto"/>
            </w:tcBorders>
            <w:vAlign w:val="center"/>
          </w:tcPr>
          <w:p w14:paraId="2F4BC92D" w14:textId="368B0841" w:rsidR="009062F6" w:rsidRPr="009062F6" w:rsidRDefault="009062F6" w:rsidP="00FF122F">
            <w:pPr>
              <w:rPr>
                <w:rFonts w:asciiTheme="minorHAnsi" w:hAnsiTheme="minorHAnsi" w:cs="Arial"/>
                <w:sz w:val="20"/>
              </w:rPr>
            </w:pPr>
            <w:r w:rsidRPr="009062F6">
              <w:rPr>
                <w:rFonts w:asciiTheme="minorHAnsi" w:hAnsiTheme="minorHAnsi" w:cs="Arial"/>
                <w:sz w:val="20"/>
              </w:rPr>
              <w:t>Datum dostavljanja:</w:t>
            </w:r>
          </w:p>
        </w:tc>
        <w:tc>
          <w:tcPr>
            <w:tcW w:w="5528" w:type="dxa"/>
            <w:tcBorders>
              <w:top w:val="single" w:sz="12" w:space="0" w:color="auto"/>
              <w:bottom w:val="single" w:sz="18" w:space="0" w:color="auto"/>
            </w:tcBorders>
            <w:vAlign w:val="center"/>
          </w:tcPr>
          <w:p w14:paraId="09718F2E" w14:textId="77777777" w:rsidR="009062F6" w:rsidRPr="009062F6" w:rsidRDefault="009062F6" w:rsidP="003A2581">
            <w:pPr>
              <w:pStyle w:val="Default"/>
              <w:rPr>
                <w:rFonts w:asciiTheme="minorHAnsi" w:hAnsiTheme="minorHAnsi"/>
                <w:sz w:val="20"/>
                <w:szCs w:val="20"/>
              </w:rPr>
            </w:pPr>
          </w:p>
        </w:tc>
      </w:tr>
    </w:tbl>
    <w:p w14:paraId="5161219E" w14:textId="77777777" w:rsidR="00F95A35" w:rsidRDefault="00F95A35" w:rsidP="00F95A35">
      <w:pPr>
        <w:jc w:val="center"/>
        <w:rPr>
          <w:rFonts w:asciiTheme="minorHAnsi" w:hAnsiTheme="minorHAnsi" w:cs="Arial"/>
          <w:sz w:val="20"/>
        </w:rPr>
      </w:pPr>
    </w:p>
    <w:p w14:paraId="00A628BD" w14:textId="77777777" w:rsidR="00250AE3" w:rsidRPr="009062F6" w:rsidRDefault="00250AE3" w:rsidP="00F95A35">
      <w:pPr>
        <w:jc w:val="center"/>
        <w:rPr>
          <w:rFonts w:asciiTheme="minorHAnsi" w:hAnsiTheme="minorHAnsi" w:cs="Arial"/>
          <w:sz w:val="20"/>
        </w:rPr>
      </w:pPr>
    </w:p>
    <w:p w14:paraId="31D09E66" w14:textId="5A3B9A1D" w:rsidR="009062F6" w:rsidRPr="003109D1" w:rsidRDefault="009062F6" w:rsidP="009062F6">
      <w:pPr>
        <w:jc w:val="both"/>
        <w:rPr>
          <w:rFonts w:asciiTheme="minorHAnsi" w:hAnsiTheme="minorHAnsi" w:cs="Arial"/>
          <w:sz w:val="20"/>
        </w:rPr>
      </w:pPr>
      <w:r w:rsidRPr="003109D1">
        <w:rPr>
          <w:rFonts w:asciiTheme="minorHAnsi" w:hAnsiTheme="minorHAnsi" w:cs="Arial"/>
          <w:sz w:val="20"/>
        </w:rPr>
        <w:t>Napomena:</w:t>
      </w:r>
    </w:p>
    <w:p w14:paraId="20567F5F" w14:textId="24B50715" w:rsidR="009062F6" w:rsidRPr="003109D1" w:rsidRDefault="009062F6" w:rsidP="009062F6">
      <w:pPr>
        <w:jc w:val="both"/>
        <w:rPr>
          <w:rFonts w:asciiTheme="minorHAnsi" w:hAnsiTheme="minorHAnsi" w:cs="Arial"/>
          <w:sz w:val="20"/>
        </w:rPr>
      </w:pPr>
      <w:r w:rsidRPr="003109D1">
        <w:rPr>
          <w:rFonts w:asciiTheme="minorHAnsi" w:hAnsiTheme="minorHAnsi" w:cs="Arial"/>
          <w:sz w:val="20"/>
        </w:rPr>
        <w:t xml:space="preserve">Popunjeni obrazac dostaviti na adresu elektroničke pošte: </w:t>
      </w:r>
      <w:hyperlink r:id="rId6" w:history="1">
        <w:r w:rsidR="003109D1" w:rsidRPr="003109D1">
          <w:rPr>
            <w:rStyle w:val="Hiperveza"/>
            <w:rFonts w:asciiTheme="minorHAnsi" w:hAnsiTheme="minorHAnsi" w:cs="Arial"/>
            <w:color w:val="auto"/>
            <w:sz w:val="20"/>
          </w:rPr>
          <w:t>azlacki@zapresic.hr</w:t>
        </w:r>
      </w:hyperlink>
      <w:r w:rsidR="002A28DD" w:rsidRPr="003109D1">
        <w:rPr>
          <w:rFonts w:asciiTheme="minorHAnsi" w:hAnsiTheme="minorHAnsi" w:cs="Arial"/>
          <w:sz w:val="20"/>
        </w:rPr>
        <w:t xml:space="preserve"> </w:t>
      </w:r>
      <w:r w:rsidRPr="003109D1">
        <w:rPr>
          <w:rFonts w:asciiTheme="minorHAnsi" w:hAnsiTheme="minorHAnsi" w:cs="Arial"/>
          <w:sz w:val="20"/>
        </w:rPr>
        <w:t xml:space="preserve">zaključno do </w:t>
      </w:r>
      <w:r w:rsidR="00890E82">
        <w:rPr>
          <w:rFonts w:asciiTheme="minorHAnsi" w:hAnsiTheme="minorHAnsi" w:cs="Arial"/>
          <w:sz w:val="20"/>
        </w:rPr>
        <w:t>12</w:t>
      </w:r>
      <w:r w:rsidRPr="003109D1">
        <w:rPr>
          <w:rFonts w:asciiTheme="minorHAnsi" w:hAnsiTheme="minorHAnsi" w:cs="Arial"/>
          <w:sz w:val="20"/>
        </w:rPr>
        <w:t>.</w:t>
      </w:r>
      <w:r w:rsidR="002D43D3">
        <w:rPr>
          <w:rFonts w:asciiTheme="minorHAnsi" w:hAnsiTheme="minorHAnsi" w:cs="Arial"/>
          <w:sz w:val="20"/>
        </w:rPr>
        <w:t>0</w:t>
      </w:r>
      <w:r w:rsidR="00890E82">
        <w:rPr>
          <w:rFonts w:asciiTheme="minorHAnsi" w:hAnsiTheme="minorHAnsi" w:cs="Arial"/>
          <w:sz w:val="20"/>
        </w:rPr>
        <w:t>2</w:t>
      </w:r>
      <w:r w:rsidR="00126BFB" w:rsidRPr="003109D1">
        <w:rPr>
          <w:rFonts w:asciiTheme="minorHAnsi" w:hAnsiTheme="minorHAnsi" w:cs="Arial"/>
          <w:sz w:val="20"/>
        </w:rPr>
        <w:t>.</w:t>
      </w:r>
      <w:r w:rsidRPr="003109D1">
        <w:rPr>
          <w:rFonts w:asciiTheme="minorHAnsi" w:hAnsiTheme="minorHAnsi" w:cs="Arial"/>
          <w:sz w:val="20"/>
        </w:rPr>
        <w:t>202</w:t>
      </w:r>
      <w:r w:rsidR="00890E82">
        <w:rPr>
          <w:rFonts w:asciiTheme="minorHAnsi" w:hAnsiTheme="minorHAnsi" w:cs="Arial"/>
          <w:sz w:val="20"/>
        </w:rPr>
        <w:t>6</w:t>
      </w:r>
      <w:r w:rsidRPr="003109D1">
        <w:rPr>
          <w:rFonts w:asciiTheme="minorHAnsi" w:hAnsiTheme="minorHAnsi" w:cs="Arial"/>
          <w:sz w:val="20"/>
        </w:rPr>
        <w:t>.</w:t>
      </w:r>
      <w:r w:rsidR="00126BFB" w:rsidRPr="003109D1">
        <w:rPr>
          <w:rFonts w:asciiTheme="minorHAnsi" w:hAnsiTheme="minorHAnsi" w:cs="Arial"/>
          <w:sz w:val="20"/>
        </w:rPr>
        <w:t>g.</w:t>
      </w:r>
    </w:p>
    <w:p w14:paraId="66C24937" w14:textId="77777777" w:rsidR="004C4C44" w:rsidRPr="003109D1" w:rsidRDefault="004C4C44" w:rsidP="004C4C44">
      <w:pPr>
        <w:jc w:val="both"/>
        <w:rPr>
          <w:rFonts w:asciiTheme="minorHAnsi" w:hAnsiTheme="minorHAnsi" w:cs="Arial"/>
          <w:sz w:val="20"/>
        </w:rPr>
      </w:pPr>
    </w:p>
    <w:p w14:paraId="167BFD30" w14:textId="051737BF" w:rsidR="004C4C44" w:rsidRPr="004C4C44" w:rsidRDefault="004C4C44" w:rsidP="004C4C44">
      <w:pPr>
        <w:jc w:val="both"/>
        <w:rPr>
          <w:rFonts w:asciiTheme="minorHAnsi" w:hAnsiTheme="minorHAnsi" w:cs="Arial"/>
          <w:sz w:val="20"/>
        </w:rPr>
      </w:pPr>
      <w:r w:rsidRPr="004C4C44">
        <w:rPr>
          <w:rFonts w:asciiTheme="minorHAnsi" w:hAnsiTheme="minorHAnsi" w:cs="Arial"/>
          <w:sz w:val="20"/>
        </w:rPr>
        <w:t xml:space="preserve">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 Grad Zaprešić kao voditelj obrade obrađuje osobne podatke isključivo u svrhu ostvarenja prava sudionika savjetovanja/ispitanika na </w:t>
      </w:r>
      <w:r w:rsidRPr="004C4C44">
        <w:rPr>
          <w:rFonts w:asciiTheme="minorHAnsi" w:hAnsiTheme="minorHAnsi" w:cs="Arial"/>
          <w:sz w:val="20"/>
        </w:rPr>
        <w:lastRenderedPageBreak/>
        <w:t xml:space="preserve">sudjelovanje u postupku savjetovanja s javnošću, uz napomenu kako je takva obrada nužna zbog zakonitog provođenja predmetnog postupka. </w:t>
      </w:r>
    </w:p>
    <w:p w14:paraId="2DACC7EC" w14:textId="77777777" w:rsidR="004C4C44" w:rsidRPr="004C4C44" w:rsidRDefault="004C4C44" w:rsidP="004C4C44">
      <w:pPr>
        <w:jc w:val="both"/>
        <w:rPr>
          <w:rFonts w:asciiTheme="minorHAnsi" w:hAnsiTheme="minorHAnsi" w:cs="Arial"/>
          <w:sz w:val="20"/>
        </w:rPr>
      </w:pPr>
      <w:r w:rsidRPr="004C4C44">
        <w:rPr>
          <w:rFonts w:asciiTheme="minorHAnsi" w:hAnsiTheme="minorHAnsi" w:cs="Arial"/>
          <w:sz w:val="20"/>
        </w:rPr>
        <w:t>Pravna osnova za obavljanje djelatnosti, a time i obradu osobnih podataka sudionika savjetovanja/ispitanika, proizlazi iz Zakona o pravu na pristup informacijama („Narodne novine“ broj 25/13 i 85/15).</w:t>
      </w:r>
    </w:p>
    <w:p w14:paraId="587E6606" w14:textId="77777777" w:rsidR="004C4C44" w:rsidRPr="004C4C44" w:rsidRDefault="004C4C44" w:rsidP="004C4C44">
      <w:pPr>
        <w:jc w:val="both"/>
        <w:rPr>
          <w:rFonts w:asciiTheme="minorHAnsi" w:hAnsiTheme="minorHAnsi" w:cs="Arial"/>
          <w:sz w:val="20"/>
        </w:rPr>
      </w:pPr>
      <w:r w:rsidRPr="004C4C44">
        <w:rPr>
          <w:rFonts w:asciiTheme="minorHAnsi" w:hAnsiTheme="minorHAnsi" w:cs="Arial"/>
          <w:sz w:val="20"/>
        </w:rPr>
        <w:t xml:space="preserve">Sudionik savjetovanja/ispitanik, budući da je obrada podataka nužna za provođenje zadaće koja se obavlja zbog javnog interesa, odnosno pri izvršavanju službene ovlasti voditelja obrade, može u smislu članka 21. stavka 6. Opće uredbe o zaštiti podataka podnijeti prigovor.  </w:t>
      </w:r>
    </w:p>
    <w:p w14:paraId="041CE45A" w14:textId="77777777" w:rsidR="004C4C44" w:rsidRPr="004C4C44" w:rsidRDefault="004C4C44" w:rsidP="004C4C44">
      <w:pPr>
        <w:jc w:val="both"/>
        <w:rPr>
          <w:rFonts w:asciiTheme="minorHAnsi" w:hAnsiTheme="minorHAnsi" w:cs="Arial"/>
          <w:sz w:val="20"/>
        </w:rPr>
      </w:pPr>
      <w:r w:rsidRPr="004C4C44">
        <w:rPr>
          <w:rFonts w:asciiTheme="minorHAnsi" w:hAnsiTheme="minorHAnsi" w:cs="Arial"/>
          <w:sz w:val="20"/>
        </w:rPr>
        <w:t>Sudionik savjetovanja/ispitanik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u pravilu ne primjenjuje pravo na prenosivost podataka.</w:t>
      </w:r>
    </w:p>
    <w:p w14:paraId="637100F3" w14:textId="77777777" w:rsidR="004C4C44" w:rsidRPr="004C4C44" w:rsidRDefault="004C4C44" w:rsidP="004C4C44">
      <w:pPr>
        <w:jc w:val="both"/>
        <w:rPr>
          <w:rFonts w:asciiTheme="minorHAnsi" w:hAnsiTheme="minorHAnsi" w:cs="Arial"/>
          <w:sz w:val="20"/>
        </w:rPr>
      </w:pPr>
      <w:r w:rsidRPr="004C4C44">
        <w:rPr>
          <w:rFonts w:asciiTheme="minorHAnsi" w:hAnsiTheme="minorHAnsi" w:cs="Arial"/>
          <w:sz w:val="20"/>
        </w:rPr>
        <w:t>Osim u svrhu izvršavanja svojih javnopravnih i službenih ovlasti te zakonom propisanih obveza, osobni podaci koje voditelj obrade prikuplja ne čine se dostupnim trećim privatnim i pravnim subjektima te trećim zemljama.</w:t>
      </w:r>
    </w:p>
    <w:p w14:paraId="013E4339" w14:textId="77777777" w:rsidR="004C4C44" w:rsidRPr="004C4C44" w:rsidRDefault="004C4C44" w:rsidP="004C4C44">
      <w:pPr>
        <w:jc w:val="both"/>
        <w:rPr>
          <w:rFonts w:asciiTheme="minorHAnsi" w:hAnsiTheme="minorHAnsi" w:cs="Arial"/>
          <w:sz w:val="20"/>
        </w:rPr>
      </w:pPr>
    </w:p>
    <w:p w14:paraId="77979DBF" w14:textId="4AF59B9E" w:rsidR="009062F6" w:rsidRPr="009062F6" w:rsidRDefault="004C4C44" w:rsidP="004C4C44">
      <w:pPr>
        <w:jc w:val="both"/>
        <w:rPr>
          <w:rFonts w:asciiTheme="minorHAnsi" w:hAnsiTheme="minorHAnsi" w:cs="Arial"/>
          <w:sz w:val="20"/>
        </w:rPr>
      </w:pPr>
      <w:r w:rsidRPr="004C4C44">
        <w:rPr>
          <w:rFonts w:asciiTheme="minorHAnsi" w:hAnsiTheme="minorHAnsi" w:cs="Arial"/>
          <w:sz w:val="20"/>
        </w:rPr>
        <w:t>Po završetku savjetovanja, sve pristigle primjedbe/prijedlozi biti će javno dostupni na internetskoj stranici Grada Zaprešića. Ukoliko ne želite da Vaši osobni podaci (ime i prezime) budu javno objavljeni, molimo da to jasno istaknete pri slanju obrasca.</w:t>
      </w:r>
      <w:r w:rsidR="00C66762" w:rsidRPr="00C66762">
        <w:t xml:space="preserve"> </w:t>
      </w:r>
      <w:r w:rsidR="00C66762" w:rsidRPr="00C66762">
        <w:rPr>
          <w:rFonts w:asciiTheme="minorHAnsi" w:hAnsiTheme="minorHAnsi" w:cs="Arial"/>
          <w:sz w:val="20"/>
        </w:rPr>
        <w:t>Anonimni, irelevantni te uvredljivi komentari neće se objaviti.</w:t>
      </w:r>
    </w:p>
    <w:sectPr w:rsidR="009062F6" w:rsidRPr="009062F6" w:rsidSect="001E4D95">
      <w:pgSz w:w="11907" w:h="16840" w:code="9"/>
      <w:pgMar w:top="851" w:right="851" w:bottom="851" w:left="1418" w:header="567" w:footer="851" w:gutter="0"/>
      <w:paperSrc w:first="1" w:other="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332"/>
    <w:multiLevelType w:val="hybridMultilevel"/>
    <w:tmpl w:val="701A3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41E41BC"/>
    <w:multiLevelType w:val="hybridMultilevel"/>
    <w:tmpl w:val="F3046876"/>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 w15:restartNumberingAfterBreak="0">
    <w:nsid w:val="634B735D"/>
    <w:multiLevelType w:val="hybridMultilevel"/>
    <w:tmpl w:val="2AAC6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E50213F"/>
    <w:multiLevelType w:val="hybridMultilevel"/>
    <w:tmpl w:val="47D2D3BE"/>
    <w:lvl w:ilvl="0" w:tplc="ACDE685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37588704">
    <w:abstractNumId w:val="2"/>
  </w:num>
  <w:num w:numId="2" w16cid:durableId="570038741">
    <w:abstractNumId w:val="1"/>
  </w:num>
  <w:num w:numId="3" w16cid:durableId="1555039008">
    <w:abstractNumId w:val="3"/>
  </w:num>
  <w:num w:numId="4" w16cid:durableId="76283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35"/>
    <w:rsid w:val="00072BB5"/>
    <w:rsid w:val="00081E85"/>
    <w:rsid w:val="000A146C"/>
    <w:rsid w:val="000C3B3C"/>
    <w:rsid w:val="000F3D98"/>
    <w:rsid w:val="0011465D"/>
    <w:rsid w:val="0012321A"/>
    <w:rsid w:val="00126BFB"/>
    <w:rsid w:val="001B0DE2"/>
    <w:rsid w:val="001E198A"/>
    <w:rsid w:val="001E4D95"/>
    <w:rsid w:val="00211440"/>
    <w:rsid w:val="00250AE3"/>
    <w:rsid w:val="0029796E"/>
    <w:rsid w:val="002A28DD"/>
    <w:rsid w:val="002C5BCD"/>
    <w:rsid w:val="002D43D3"/>
    <w:rsid w:val="003109D1"/>
    <w:rsid w:val="0033007A"/>
    <w:rsid w:val="00345BBE"/>
    <w:rsid w:val="00352BC5"/>
    <w:rsid w:val="003567A3"/>
    <w:rsid w:val="003602DE"/>
    <w:rsid w:val="00386E76"/>
    <w:rsid w:val="003B7C7D"/>
    <w:rsid w:val="003C19E7"/>
    <w:rsid w:val="003C49D4"/>
    <w:rsid w:val="003D0306"/>
    <w:rsid w:val="003D4195"/>
    <w:rsid w:val="003F56F6"/>
    <w:rsid w:val="004163A1"/>
    <w:rsid w:val="00431D92"/>
    <w:rsid w:val="00432DBF"/>
    <w:rsid w:val="00453E93"/>
    <w:rsid w:val="004C4C44"/>
    <w:rsid w:val="005139E9"/>
    <w:rsid w:val="005302C7"/>
    <w:rsid w:val="00553258"/>
    <w:rsid w:val="005C77AA"/>
    <w:rsid w:val="005D54EB"/>
    <w:rsid w:val="005E39DD"/>
    <w:rsid w:val="005E3C81"/>
    <w:rsid w:val="0066576C"/>
    <w:rsid w:val="006C1302"/>
    <w:rsid w:val="006E62D9"/>
    <w:rsid w:val="007303EF"/>
    <w:rsid w:val="00730408"/>
    <w:rsid w:val="00735AFF"/>
    <w:rsid w:val="00755D39"/>
    <w:rsid w:val="00792BFF"/>
    <w:rsid w:val="007F0455"/>
    <w:rsid w:val="0083577D"/>
    <w:rsid w:val="00845520"/>
    <w:rsid w:val="0085539E"/>
    <w:rsid w:val="0085722B"/>
    <w:rsid w:val="00890E82"/>
    <w:rsid w:val="008B7EB6"/>
    <w:rsid w:val="009062F6"/>
    <w:rsid w:val="00912BCB"/>
    <w:rsid w:val="00983714"/>
    <w:rsid w:val="009903A2"/>
    <w:rsid w:val="009B3BDC"/>
    <w:rsid w:val="009C1029"/>
    <w:rsid w:val="009D379B"/>
    <w:rsid w:val="009F4A64"/>
    <w:rsid w:val="00A30CF7"/>
    <w:rsid w:val="00A548D4"/>
    <w:rsid w:val="00A94C17"/>
    <w:rsid w:val="00B10A3D"/>
    <w:rsid w:val="00B27AD4"/>
    <w:rsid w:val="00B4243E"/>
    <w:rsid w:val="00B550FB"/>
    <w:rsid w:val="00BB6BAB"/>
    <w:rsid w:val="00C51FF2"/>
    <w:rsid w:val="00C66762"/>
    <w:rsid w:val="00C93464"/>
    <w:rsid w:val="00CC0846"/>
    <w:rsid w:val="00CD7401"/>
    <w:rsid w:val="00D31DA2"/>
    <w:rsid w:val="00D77BC6"/>
    <w:rsid w:val="00D97A17"/>
    <w:rsid w:val="00DA5B5B"/>
    <w:rsid w:val="00DC0E2D"/>
    <w:rsid w:val="00E033ED"/>
    <w:rsid w:val="00E10865"/>
    <w:rsid w:val="00E25763"/>
    <w:rsid w:val="00E264F3"/>
    <w:rsid w:val="00E4074D"/>
    <w:rsid w:val="00E852F3"/>
    <w:rsid w:val="00E85EC7"/>
    <w:rsid w:val="00E92178"/>
    <w:rsid w:val="00E938F7"/>
    <w:rsid w:val="00E97319"/>
    <w:rsid w:val="00F01D0B"/>
    <w:rsid w:val="00F17315"/>
    <w:rsid w:val="00F22BF3"/>
    <w:rsid w:val="00F5612B"/>
    <w:rsid w:val="00F95A35"/>
    <w:rsid w:val="00FD4EE3"/>
    <w:rsid w:val="00FF122F"/>
    <w:rsid w:val="00FF5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AC55"/>
  <w15:docId w15:val="{E458DC12-9EC2-4059-88C9-C86069C3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35"/>
    <w:pPr>
      <w:ind w:firstLine="0"/>
      <w:jc w:val="left"/>
    </w:pPr>
    <w:rPr>
      <w:rFonts w:ascii="Times New Roman" w:eastAsia="Times New Roman" w:hAnsi="Times New Roman" w:cs="Times New Roman"/>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95A35"/>
    <w:pPr>
      <w:ind w:firstLine="0"/>
      <w:jc w:val="left"/>
    </w:pPr>
    <w:rPr>
      <w:rFonts w:ascii="Times New Roman" w:eastAsia="Times New Roman" w:hAnsi="Times New Roman" w:cs="Times New Roman"/>
      <w:sz w:val="24"/>
      <w:szCs w:val="24"/>
      <w:lang w:eastAsia="hr-HR"/>
    </w:rPr>
  </w:style>
  <w:style w:type="paragraph" w:customStyle="1" w:styleId="Default">
    <w:name w:val="Default"/>
    <w:rsid w:val="00F95A35"/>
    <w:pPr>
      <w:autoSpaceDE w:val="0"/>
      <w:autoSpaceDN w:val="0"/>
      <w:adjustRightInd w:val="0"/>
      <w:ind w:firstLine="0"/>
      <w:jc w:val="left"/>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792BFF"/>
    <w:pPr>
      <w:ind w:left="720"/>
      <w:contextualSpacing/>
    </w:pPr>
  </w:style>
  <w:style w:type="character" w:styleId="Hiperveza">
    <w:name w:val="Hyperlink"/>
    <w:basedOn w:val="Zadanifontodlomka"/>
    <w:uiPriority w:val="99"/>
    <w:unhideWhenUsed/>
    <w:rsid w:val="002A28DD"/>
    <w:rPr>
      <w:color w:val="0000FF" w:themeColor="hyperlink"/>
      <w:u w:val="single"/>
    </w:rPr>
  </w:style>
  <w:style w:type="character" w:styleId="Nerijeenospominjanje">
    <w:name w:val="Unresolved Mention"/>
    <w:basedOn w:val="Zadanifontodlomka"/>
    <w:uiPriority w:val="99"/>
    <w:semiHidden/>
    <w:unhideWhenUsed/>
    <w:rsid w:val="002A2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lacki@zapresic.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C97AA-C738-4A9E-8A83-31D4747B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678</Words>
  <Characters>3867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Grad Varaždin</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Cindrić</dc:creator>
  <cp:lastModifiedBy>Alen Zlački</cp:lastModifiedBy>
  <cp:revision>25</cp:revision>
  <cp:lastPrinted>2015-03-05T07:42:00Z</cp:lastPrinted>
  <dcterms:created xsi:type="dcterms:W3CDTF">2022-10-26T10:30:00Z</dcterms:created>
  <dcterms:modified xsi:type="dcterms:W3CDTF">2026-01-13T13:28:00Z</dcterms:modified>
</cp:coreProperties>
</file>