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jc w:val="center"/>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4503"/>
        <w:gridCol w:w="5528"/>
      </w:tblGrid>
      <w:tr w:rsidR="00F95A35" w:rsidRPr="00EA5AD2" w14:paraId="19C7005C" w14:textId="77777777" w:rsidTr="00755D39">
        <w:trPr>
          <w:trHeight w:val="416"/>
          <w:jc w:val="center"/>
        </w:trPr>
        <w:tc>
          <w:tcPr>
            <w:tcW w:w="10031" w:type="dxa"/>
            <w:gridSpan w:val="2"/>
            <w:vAlign w:val="center"/>
          </w:tcPr>
          <w:p w14:paraId="6EAFA494" w14:textId="77777777" w:rsidR="00F95A35" w:rsidRPr="00EA5AD2" w:rsidRDefault="00D77BC6" w:rsidP="003A2581">
            <w:pPr>
              <w:jc w:val="center"/>
              <w:rPr>
                <w:rFonts w:asciiTheme="minorHAnsi" w:hAnsiTheme="minorHAnsi" w:cstheme="minorHAnsi"/>
                <w:b/>
                <w:sz w:val="20"/>
              </w:rPr>
            </w:pPr>
            <w:r w:rsidRPr="00EA5AD2">
              <w:rPr>
                <w:rFonts w:asciiTheme="minorHAnsi" w:hAnsiTheme="minorHAnsi" w:cstheme="minorHAnsi"/>
                <w:b/>
                <w:sz w:val="20"/>
              </w:rPr>
              <w:t xml:space="preserve">OBRAZAC </w:t>
            </w:r>
          </w:p>
          <w:p w14:paraId="3FE547A3" w14:textId="77777777" w:rsidR="0053480A" w:rsidRPr="0053480A" w:rsidRDefault="009062F6" w:rsidP="0053480A">
            <w:pPr>
              <w:jc w:val="center"/>
              <w:rPr>
                <w:rFonts w:asciiTheme="minorHAnsi" w:hAnsiTheme="minorHAnsi" w:cstheme="minorHAnsi"/>
                <w:b/>
                <w:sz w:val="20"/>
              </w:rPr>
            </w:pPr>
            <w:r w:rsidRPr="00EA5AD2">
              <w:rPr>
                <w:rFonts w:asciiTheme="minorHAnsi" w:hAnsiTheme="minorHAnsi" w:cstheme="minorHAnsi"/>
                <w:b/>
                <w:sz w:val="20"/>
              </w:rPr>
              <w:t>s</w:t>
            </w:r>
            <w:r w:rsidR="00D77BC6" w:rsidRPr="00EA5AD2">
              <w:rPr>
                <w:rFonts w:asciiTheme="minorHAnsi" w:hAnsiTheme="minorHAnsi" w:cstheme="minorHAnsi"/>
                <w:b/>
                <w:sz w:val="20"/>
              </w:rPr>
              <w:t xml:space="preserve">udjelovanja javnosti u savjetovanju o </w:t>
            </w:r>
            <w:r w:rsidR="00CC0846" w:rsidRPr="00EA5AD2">
              <w:rPr>
                <w:rFonts w:asciiTheme="minorHAnsi" w:hAnsiTheme="minorHAnsi" w:cstheme="minorHAnsi"/>
                <w:b/>
                <w:sz w:val="20"/>
              </w:rPr>
              <w:t>N</w:t>
            </w:r>
            <w:r w:rsidR="00126BFB" w:rsidRPr="00EA5AD2">
              <w:rPr>
                <w:rFonts w:asciiTheme="minorHAnsi" w:hAnsiTheme="minorHAnsi" w:cstheme="minorHAnsi"/>
                <w:b/>
                <w:sz w:val="20"/>
              </w:rPr>
              <w:t xml:space="preserve">acrtu </w:t>
            </w:r>
            <w:r w:rsidR="00711DE6">
              <w:rPr>
                <w:rFonts w:asciiTheme="minorHAnsi" w:hAnsiTheme="minorHAnsi" w:cstheme="minorHAnsi"/>
                <w:b/>
                <w:sz w:val="20"/>
              </w:rPr>
              <w:t xml:space="preserve">prijedloga Odluke </w:t>
            </w:r>
            <w:r w:rsidR="0053480A" w:rsidRPr="0053480A">
              <w:rPr>
                <w:rFonts w:asciiTheme="minorHAnsi" w:hAnsiTheme="minorHAnsi" w:cstheme="minorHAnsi"/>
                <w:b/>
                <w:sz w:val="20"/>
              </w:rPr>
              <w:t xml:space="preserve">o načinu pružanja javne usluge sakupljanja </w:t>
            </w:r>
          </w:p>
          <w:p w14:paraId="68EAFBB3" w14:textId="59FA023E" w:rsidR="00D77BC6" w:rsidRPr="00EA5AD2" w:rsidRDefault="0053480A" w:rsidP="0053480A">
            <w:pPr>
              <w:jc w:val="center"/>
              <w:rPr>
                <w:rFonts w:asciiTheme="minorHAnsi" w:hAnsiTheme="minorHAnsi" w:cstheme="minorHAnsi"/>
                <w:b/>
                <w:sz w:val="20"/>
              </w:rPr>
            </w:pPr>
            <w:r w:rsidRPr="0053480A">
              <w:rPr>
                <w:rFonts w:asciiTheme="minorHAnsi" w:hAnsiTheme="minorHAnsi" w:cstheme="minorHAnsi"/>
                <w:b/>
                <w:sz w:val="20"/>
              </w:rPr>
              <w:t>komunalnog otpada na području grada Zaprešića</w:t>
            </w:r>
          </w:p>
        </w:tc>
      </w:tr>
      <w:tr w:rsidR="00FF122F" w:rsidRPr="00EA5AD2" w14:paraId="04DDECA3" w14:textId="77777777" w:rsidTr="00755D39">
        <w:trPr>
          <w:trHeight w:val="415"/>
          <w:jc w:val="center"/>
        </w:trPr>
        <w:tc>
          <w:tcPr>
            <w:tcW w:w="4503" w:type="dxa"/>
            <w:vAlign w:val="center"/>
          </w:tcPr>
          <w:p w14:paraId="5DE4C162" w14:textId="361A0E85" w:rsidR="00FF122F" w:rsidRPr="00EA5AD2" w:rsidRDefault="00FF122F" w:rsidP="00FF122F">
            <w:pPr>
              <w:rPr>
                <w:rFonts w:asciiTheme="minorHAnsi" w:hAnsiTheme="minorHAnsi" w:cstheme="minorHAnsi"/>
                <w:sz w:val="20"/>
              </w:rPr>
            </w:pPr>
            <w:r w:rsidRPr="00EA5AD2">
              <w:rPr>
                <w:rFonts w:asciiTheme="minorHAnsi" w:hAnsiTheme="minorHAnsi" w:cstheme="minorHAnsi"/>
                <w:sz w:val="20"/>
              </w:rPr>
              <w:t>Naziv akta o kojem je savjetovanje prov</w:t>
            </w:r>
            <w:r w:rsidR="002C5BCD" w:rsidRPr="00EA5AD2">
              <w:rPr>
                <w:rFonts w:asciiTheme="minorHAnsi" w:hAnsiTheme="minorHAnsi" w:cstheme="minorHAnsi"/>
                <w:sz w:val="20"/>
              </w:rPr>
              <w:t>odi</w:t>
            </w:r>
            <w:r w:rsidRPr="00EA5AD2">
              <w:rPr>
                <w:rFonts w:asciiTheme="minorHAnsi" w:hAnsiTheme="minorHAnsi" w:cstheme="minorHAnsi"/>
                <w:sz w:val="20"/>
              </w:rPr>
              <w:t>:</w:t>
            </w:r>
          </w:p>
        </w:tc>
        <w:tc>
          <w:tcPr>
            <w:tcW w:w="5528" w:type="dxa"/>
            <w:vAlign w:val="center"/>
          </w:tcPr>
          <w:p w14:paraId="18FB89B0" w14:textId="3A15608F" w:rsidR="00FF122F" w:rsidRPr="00EA5AD2" w:rsidRDefault="00983714" w:rsidP="0053480A">
            <w:pPr>
              <w:rPr>
                <w:rFonts w:asciiTheme="minorHAnsi" w:hAnsiTheme="minorHAnsi" w:cstheme="minorHAnsi"/>
                <w:bCs/>
                <w:sz w:val="20"/>
              </w:rPr>
            </w:pPr>
            <w:r w:rsidRPr="00EA5AD2">
              <w:rPr>
                <w:rFonts w:asciiTheme="minorHAnsi" w:hAnsiTheme="minorHAnsi" w:cstheme="minorHAnsi"/>
                <w:bCs/>
                <w:sz w:val="20"/>
              </w:rPr>
              <w:t xml:space="preserve">Nacrt </w:t>
            </w:r>
            <w:r w:rsidR="00EA5AD2" w:rsidRPr="00EA5AD2">
              <w:rPr>
                <w:rFonts w:asciiTheme="minorHAnsi" w:hAnsiTheme="minorHAnsi" w:cstheme="minorHAnsi"/>
                <w:bCs/>
                <w:sz w:val="20"/>
              </w:rPr>
              <w:t xml:space="preserve">prijedloga </w:t>
            </w:r>
            <w:r w:rsidR="00E569EF">
              <w:rPr>
                <w:rFonts w:asciiTheme="minorHAnsi" w:hAnsiTheme="minorHAnsi" w:cstheme="minorHAnsi"/>
                <w:bCs/>
                <w:sz w:val="20"/>
              </w:rPr>
              <w:t xml:space="preserve">Odluke </w:t>
            </w:r>
            <w:r w:rsidR="0053480A" w:rsidRPr="0053480A">
              <w:rPr>
                <w:rFonts w:asciiTheme="minorHAnsi" w:hAnsiTheme="minorHAnsi" w:cstheme="minorHAnsi"/>
                <w:bCs/>
                <w:sz w:val="20"/>
              </w:rPr>
              <w:t>o načinu pružanja javne usluge sakupljanja komunalnog otpada na području grada Zaprešića</w:t>
            </w:r>
          </w:p>
        </w:tc>
      </w:tr>
      <w:tr w:rsidR="00FF122F" w:rsidRPr="00EA5AD2" w14:paraId="3A5AF754" w14:textId="77777777" w:rsidTr="00755D39">
        <w:trPr>
          <w:trHeight w:val="845"/>
          <w:jc w:val="center"/>
        </w:trPr>
        <w:tc>
          <w:tcPr>
            <w:tcW w:w="4503" w:type="dxa"/>
            <w:tcBorders>
              <w:bottom w:val="single" w:sz="12" w:space="0" w:color="auto"/>
            </w:tcBorders>
            <w:vAlign w:val="center"/>
          </w:tcPr>
          <w:p w14:paraId="11B05C5D" w14:textId="503651CE" w:rsidR="00FF122F" w:rsidRPr="00EA5AD2" w:rsidRDefault="00FF122F" w:rsidP="0085722B">
            <w:pPr>
              <w:pStyle w:val="Bezproreda"/>
              <w:jc w:val="both"/>
              <w:rPr>
                <w:rFonts w:asciiTheme="minorHAnsi" w:hAnsiTheme="minorHAnsi" w:cstheme="minorHAnsi"/>
                <w:sz w:val="20"/>
                <w:szCs w:val="20"/>
              </w:rPr>
            </w:pPr>
            <w:r w:rsidRPr="00EA5AD2">
              <w:rPr>
                <w:rFonts w:asciiTheme="minorHAnsi" w:hAnsiTheme="minorHAnsi" w:cstheme="minorHAnsi"/>
                <w:sz w:val="20"/>
                <w:szCs w:val="20"/>
              </w:rPr>
              <w:t xml:space="preserve">Vrijeme trajanja savjetovanja: </w:t>
            </w:r>
          </w:p>
        </w:tc>
        <w:tc>
          <w:tcPr>
            <w:tcW w:w="5528" w:type="dxa"/>
            <w:tcBorders>
              <w:bottom w:val="single" w:sz="12" w:space="0" w:color="auto"/>
            </w:tcBorders>
            <w:vAlign w:val="center"/>
          </w:tcPr>
          <w:p w14:paraId="50CBED49" w14:textId="050EEE70" w:rsidR="00FF122F" w:rsidRPr="00EA5AD2" w:rsidRDefault="0053480A" w:rsidP="0085722B">
            <w:pPr>
              <w:pStyle w:val="Bezproreda"/>
              <w:jc w:val="both"/>
              <w:rPr>
                <w:rFonts w:asciiTheme="minorHAnsi" w:hAnsiTheme="minorHAnsi" w:cstheme="minorHAnsi"/>
                <w:color w:val="FF0000"/>
                <w:sz w:val="20"/>
                <w:szCs w:val="20"/>
              </w:rPr>
            </w:pPr>
            <w:r>
              <w:rPr>
                <w:rFonts w:asciiTheme="minorHAnsi" w:hAnsiTheme="minorHAnsi" w:cstheme="minorHAnsi"/>
                <w:sz w:val="20"/>
                <w:szCs w:val="20"/>
              </w:rPr>
              <w:t>27</w:t>
            </w:r>
            <w:r w:rsidR="00D77BC6" w:rsidRPr="00EA5AD2">
              <w:rPr>
                <w:rFonts w:asciiTheme="minorHAnsi" w:hAnsiTheme="minorHAnsi" w:cstheme="minorHAnsi"/>
                <w:sz w:val="20"/>
                <w:szCs w:val="20"/>
              </w:rPr>
              <w:t>.</w:t>
            </w:r>
            <w:r w:rsidR="009F4A64" w:rsidRPr="00EA5AD2">
              <w:rPr>
                <w:rFonts w:asciiTheme="minorHAnsi" w:hAnsiTheme="minorHAnsi" w:cstheme="minorHAnsi"/>
                <w:sz w:val="20"/>
                <w:szCs w:val="20"/>
              </w:rPr>
              <w:t>0</w:t>
            </w:r>
            <w:r>
              <w:rPr>
                <w:rFonts w:asciiTheme="minorHAnsi" w:hAnsiTheme="minorHAnsi" w:cstheme="minorHAnsi"/>
                <w:sz w:val="20"/>
                <w:szCs w:val="20"/>
              </w:rPr>
              <w:t>1</w:t>
            </w:r>
            <w:r w:rsidR="00126BFB" w:rsidRPr="00EA5AD2">
              <w:rPr>
                <w:rFonts w:asciiTheme="minorHAnsi" w:hAnsiTheme="minorHAnsi" w:cstheme="minorHAnsi"/>
                <w:sz w:val="20"/>
                <w:szCs w:val="20"/>
              </w:rPr>
              <w:t>.</w:t>
            </w:r>
            <w:r w:rsidR="00FF122F" w:rsidRPr="00EA5AD2">
              <w:rPr>
                <w:rFonts w:asciiTheme="minorHAnsi" w:hAnsiTheme="minorHAnsi" w:cstheme="minorHAnsi"/>
                <w:sz w:val="20"/>
                <w:szCs w:val="20"/>
              </w:rPr>
              <w:t>202</w:t>
            </w:r>
            <w:r w:rsidR="00CE4BB3">
              <w:rPr>
                <w:rFonts w:asciiTheme="minorHAnsi" w:hAnsiTheme="minorHAnsi" w:cstheme="minorHAnsi"/>
                <w:sz w:val="20"/>
                <w:szCs w:val="20"/>
              </w:rPr>
              <w:t>6</w:t>
            </w:r>
            <w:r w:rsidR="00FF122F" w:rsidRPr="00EA5AD2">
              <w:rPr>
                <w:rFonts w:asciiTheme="minorHAnsi" w:hAnsiTheme="minorHAnsi" w:cstheme="minorHAnsi"/>
                <w:sz w:val="20"/>
                <w:szCs w:val="20"/>
              </w:rPr>
              <w:t xml:space="preserve">. – </w:t>
            </w:r>
            <w:r w:rsidR="00EA5AD2" w:rsidRPr="00EA5AD2">
              <w:rPr>
                <w:rFonts w:asciiTheme="minorHAnsi" w:hAnsiTheme="minorHAnsi" w:cstheme="minorHAnsi"/>
                <w:sz w:val="20"/>
                <w:szCs w:val="20"/>
              </w:rPr>
              <w:t>2</w:t>
            </w:r>
            <w:r>
              <w:rPr>
                <w:rFonts w:asciiTheme="minorHAnsi" w:hAnsiTheme="minorHAnsi" w:cstheme="minorHAnsi"/>
                <w:sz w:val="20"/>
                <w:szCs w:val="20"/>
              </w:rPr>
              <w:t>6</w:t>
            </w:r>
            <w:r w:rsidR="002C5BCD" w:rsidRPr="00EA5AD2">
              <w:rPr>
                <w:rFonts w:asciiTheme="minorHAnsi" w:hAnsiTheme="minorHAnsi" w:cstheme="minorHAnsi"/>
                <w:sz w:val="20"/>
                <w:szCs w:val="20"/>
              </w:rPr>
              <w:t>.</w:t>
            </w:r>
            <w:r w:rsidR="009F4A64" w:rsidRPr="00EA5AD2">
              <w:rPr>
                <w:rFonts w:asciiTheme="minorHAnsi" w:hAnsiTheme="minorHAnsi" w:cstheme="minorHAnsi"/>
                <w:sz w:val="20"/>
                <w:szCs w:val="20"/>
              </w:rPr>
              <w:t>0</w:t>
            </w:r>
            <w:r>
              <w:rPr>
                <w:rFonts w:asciiTheme="minorHAnsi" w:hAnsiTheme="minorHAnsi" w:cstheme="minorHAnsi"/>
                <w:sz w:val="20"/>
                <w:szCs w:val="20"/>
              </w:rPr>
              <w:t>2</w:t>
            </w:r>
            <w:r w:rsidR="00126BFB" w:rsidRPr="00EA5AD2">
              <w:rPr>
                <w:rFonts w:asciiTheme="minorHAnsi" w:hAnsiTheme="minorHAnsi" w:cstheme="minorHAnsi"/>
                <w:sz w:val="20"/>
                <w:szCs w:val="20"/>
              </w:rPr>
              <w:t>.</w:t>
            </w:r>
            <w:r w:rsidR="00FF122F" w:rsidRPr="00EA5AD2">
              <w:rPr>
                <w:rFonts w:asciiTheme="minorHAnsi" w:hAnsiTheme="minorHAnsi" w:cstheme="minorHAnsi"/>
                <w:sz w:val="20"/>
                <w:szCs w:val="20"/>
              </w:rPr>
              <w:t>202</w:t>
            </w:r>
            <w:r w:rsidR="00CE4BB3">
              <w:rPr>
                <w:rFonts w:asciiTheme="minorHAnsi" w:hAnsiTheme="minorHAnsi" w:cstheme="minorHAnsi"/>
                <w:sz w:val="20"/>
                <w:szCs w:val="20"/>
              </w:rPr>
              <w:t>6</w:t>
            </w:r>
            <w:r w:rsidR="00FF122F" w:rsidRPr="00EA5AD2">
              <w:rPr>
                <w:rFonts w:asciiTheme="minorHAnsi" w:hAnsiTheme="minorHAnsi" w:cstheme="minorHAnsi"/>
                <w:sz w:val="20"/>
                <w:szCs w:val="20"/>
              </w:rPr>
              <w:t>.</w:t>
            </w:r>
          </w:p>
        </w:tc>
      </w:tr>
      <w:tr w:rsidR="00F95A35" w:rsidRPr="00EA5AD2" w14:paraId="7193E265" w14:textId="77777777" w:rsidTr="00784C9E">
        <w:trPr>
          <w:trHeight w:val="845"/>
          <w:jc w:val="center"/>
        </w:trPr>
        <w:tc>
          <w:tcPr>
            <w:tcW w:w="4503" w:type="dxa"/>
            <w:tcBorders>
              <w:top w:val="single" w:sz="12" w:space="0" w:color="auto"/>
              <w:bottom w:val="single" w:sz="12" w:space="0" w:color="auto"/>
            </w:tcBorders>
            <w:vAlign w:val="center"/>
          </w:tcPr>
          <w:p w14:paraId="4ECF1F97" w14:textId="52A66742" w:rsidR="00F95A35" w:rsidRPr="00EA5AD2" w:rsidRDefault="00FF122F" w:rsidP="00FF122F">
            <w:pPr>
              <w:rPr>
                <w:rFonts w:asciiTheme="minorHAnsi" w:hAnsiTheme="minorHAnsi" w:cstheme="minorHAnsi"/>
                <w:sz w:val="20"/>
              </w:rPr>
            </w:pPr>
            <w:r w:rsidRPr="00EA5AD2">
              <w:rPr>
                <w:rFonts w:asciiTheme="minorHAnsi" w:hAnsiTheme="minorHAnsi" w:cstheme="minorHAnsi"/>
                <w:sz w:val="20"/>
              </w:rPr>
              <w:t xml:space="preserve">Naziv gradskog upravnog tijela nadležnog za izradu nacrta: </w:t>
            </w:r>
          </w:p>
        </w:tc>
        <w:tc>
          <w:tcPr>
            <w:tcW w:w="5528" w:type="dxa"/>
            <w:tcBorders>
              <w:top w:val="single" w:sz="12" w:space="0" w:color="auto"/>
              <w:bottom w:val="single" w:sz="12" w:space="0" w:color="auto"/>
            </w:tcBorders>
            <w:vAlign w:val="center"/>
          </w:tcPr>
          <w:p w14:paraId="7732C3F1" w14:textId="48C7E06F" w:rsidR="00F95A35" w:rsidRPr="00EA5AD2" w:rsidRDefault="00784C9E" w:rsidP="003A2581">
            <w:pPr>
              <w:rPr>
                <w:rFonts w:asciiTheme="minorHAnsi" w:hAnsiTheme="minorHAnsi" w:cstheme="minorHAnsi"/>
                <w:sz w:val="20"/>
              </w:rPr>
            </w:pPr>
            <w:r w:rsidRPr="00784C9E">
              <w:rPr>
                <w:rFonts w:asciiTheme="minorHAnsi" w:hAnsiTheme="minorHAnsi" w:cstheme="minorHAnsi"/>
                <w:color w:val="000000"/>
                <w:sz w:val="20"/>
              </w:rPr>
              <w:t xml:space="preserve">Upravni odjel za graditeljstvo, zaštitu okoliša, stambene i komunalne poslove </w:t>
            </w:r>
          </w:p>
        </w:tc>
      </w:tr>
      <w:tr w:rsidR="003B7C7D" w:rsidRPr="00EA5AD2" w14:paraId="577E515E" w14:textId="77777777" w:rsidTr="00755D39">
        <w:trPr>
          <w:trHeight w:val="529"/>
          <w:jc w:val="center"/>
        </w:trPr>
        <w:tc>
          <w:tcPr>
            <w:tcW w:w="4503" w:type="dxa"/>
            <w:tcBorders>
              <w:top w:val="single" w:sz="12" w:space="0" w:color="auto"/>
              <w:bottom w:val="single" w:sz="12" w:space="0" w:color="auto"/>
            </w:tcBorders>
            <w:vAlign w:val="center"/>
          </w:tcPr>
          <w:p w14:paraId="1AF4552F" w14:textId="54D4321B" w:rsidR="003B7C7D" w:rsidRPr="00EA5AD2" w:rsidRDefault="00FF122F" w:rsidP="00FF122F">
            <w:pPr>
              <w:rPr>
                <w:rFonts w:asciiTheme="minorHAnsi" w:hAnsiTheme="minorHAnsi" w:cstheme="minorHAnsi"/>
                <w:sz w:val="20"/>
              </w:rPr>
            </w:pPr>
            <w:r w:rsidRPr="00EA5AD2">
              <w:rPr>
                <w:rFonts w:asciiTheme="minorHAnsi" w:hAnsiTheme="minorHAnsi" w:cstheme="minorHAnsi"/>
                <w:sz w:val="20"/>
              </w:rPr>
              <w:t>Metoda savjetovanja:</w:t>
            </w:r>
          </w:p>
        </w:tc>
        <w:tc>
          <w:tcPr>
            <w:tcW w:w="5528" w:type="dxa"/>
            <w:tcBorders>
              <w:top w:val="single" w:sz="12" w:space="0" w:color="auto"/>
              <w:bottom w:val="single" w:sz="12" w:space="0" w:color="auto"/>
            </w:tcBorders>
            <w:vAlign w:val="center"/>
          </w:tcPr>
          <w:p w14:paraId="2A74A22D" w14:textId="5E97D12D" w:rsidR="003B7C7D" w:rsidRPr="00EA5AD2" w:rsidRDefault="00FF122F" w:rsidP="003A2581">
            <w:pPr>
              <w:pStyle w:val="Default"/>
              <w:rPr>
                <w:rFonts w:asciiTheme="minorHAnsi" w:hAnsiTheme="minorHAnsi" w:cstheme="minorHAnsi"/>
                <w:sz w:val="20"/>
                <w:szCs w:val="20"/>
              </w:rPr>
            </w:pPr>
            <w:r w:rsidRPr="00EA5AD2">
              <w:rPr>
                <w:rFonts w:asciiTheme="minorHAnsi" w:hAnsiTheme="minorHAnsi" w:cstheme="minorHAnsi"/>
                <w:sz w:val="20"/>
                <w:szCs w:val="20"/>
              </w:rPr>
              <w:t>Internetsko savjetovanje</w:t>
            </w:r>
          </w:p>
        </w:tc>
      </w:tr>
      <w:tr w:rsidR="00D77BC6" w:rsidRPr="00EA5AD2" w14:paraId="727036FC" w14:textId="77777777" w:rsidTr="00755D39">
        <w:trPr>
          <w:trHeight w:val="845"/>
          <w:jc w:val="center"/>
        </w:trPr>
        <w:tc>
          <w:tcPr>
            <w:tcW w:w="4503" w:type="dxa"/>
            <w:tcBorders>
              <w:top w:val="single" w:sz="12" w:space="0" w:color="auto"/>
              <w:bottom w:val="single" w:sz="12" w:space="0" w:color="auto"/>
            </w:tcBorders>
            <w:vAlign w:val="center"/>
          </w:tcPr>
          <w:p w14:paraId="558DA486" w14:textId="71921746" w:rsidR="00D77BC6" w:rsidRPr="00EA5AD2" w:rsidRDefault="00D77BC6" w:rsidP="00FF122F">
            <w:pPr>
              <w:rPr>
                <w:rFonts w:asciiTheme="minorHAnsi" w:hAnsiTheme="minorHAnsi" w:cstheme="minorHAnsi"/>
                <w:sz w:val="20"/>
              </w:rPr>
            </w:pPr>
            <w:r w:rsidRPr="00EA5AD2">
              <w:rPr>
                <w:rFonts w:asciiTheme="minorHAnsi" w:hAnsiTheme="minorHAnsi" w:cstheme="minorHAnsi"/>
                <w:sz w:val="20"/>
              </w:rPr>
              <w:t>Obrazloženje:</w:t>
            </w:r>
          </w:p>
        </w:tc>
        <w:tc>
          <w:tcPr>
            <w:tcW w:w="5528" w:type="dxa"/>
            <w:tcBorders>
              <w:top w:val="single" w:sz="12" w:space="0" w:color="auto"/>
              <w:bottom w:val="single" w:sz="12" w:space="0" w:color="auto"/>
            </w:tcBorders>
            <w:vAlign w:val="center"/>
          </w:tcPr>
          <w:p w14:paraId="7A3F95BF" w14:textId="003981F7" w:rsidR="0053480A" w:rsidRPr="0053480A" w:rsidRDefault="0053480A" w:rsidP="0053480A">
            <w:pPr>
              <w:jc w:val="both"/>
              <w:rPr>
                <w:rFonts w:asciiTheme="minorHAnsi" w:hAnsiTheme="minorHAnsi" w:cstheme="minorHAnsi"/>
                <w:sz w:val="20"/>
              </w:rPr>
            </w:pPr>
            <w:r>
              <w:rPr>
                <w:rFonts w:asciiTheme="minorHAnsi" w:hAnsiTheme="minorHAnsi" w:cstheme="minorHAnsi"/>
                <w:sz w:val="20"/>
              </w:rPr>
              <w:t>Pravna osnova za donošenje ove Odluke je č</w:t>
            </w:r>
            <w:r w:rsidRPr="0053480A">
              <w:rPr>
                <w:rFonts w:asciiTheme="minorHAnsi" w:hAnsiTheme="minorHAnsi" w:cstheme="minorHAnsi"/>
                <w:sz w:val="20"/>
              </w:rPr>
              <w:t xml:space="preserve">lanak 66. </w:t>
            </w:r>
            <w:r w:rsidRPr="00CE4BB3">
              <w:rPr>
                <w:rFonts w:asciiTheme="minorHAnsi" w:hAnsiTheme="minorHAnsi" w:cstheme="minorHAnsi"/>
                <w:i/>
                <w:iCs/>
                <w:sz w:val="20"/>
              </w:rPr>
              <w:t>Zakona o gospodarenju otpadom</w:t>
            </w:r>
            <w:r w:rsidRPr="0053480A">
              <w:rPr>
                <w:rFonts w:asciiTheme="minorHAnsi" w:hAnsiTheme="minorHAnsi" w:cstheme="minorHAnsi"/>
                <w:sz w:val="20"/>
              </w:rPr>
              <w:t xml:space="preserve"> (Narodne novine 84/21 i 142/23) i članak 22. </w:t>
            </w:r>
            <w:r w:rsidRPr="00CE4BB3">
              <w:rPr>
                <w:rFonts w:asciiTheme="minorHAnsi" w:hAnsiTheme="minorHAnsi" w:cstheme="minorHAnsi"/>
                <w:i/>
                <w:iCs/>
                <w:sz w:val="20"/>
              </w:rPr>
              <w:t>Statuta Grada Zaprešića</w:t>
            </w:r>
            <w:r w:rsidRPr="0053480A">
              <w:rPr>
                <w:rFonts w:asciiTheme="minorHAnsi" w:hAnsiTheme="minorHAnsi" w:cstheme="minorHAnsi"/>
                <w:sz w:val="20"/>
              </w:rPr>
              <w:t xml:space="preserve"> (Službene novine Grada Zaprešića  04/09, 02/13, 06/13-pročišćeni tekst, 07/14, 01/18, 02/20 i 01/21).</w:t>
            </w:r>
          </w:p>
          <w:p w14:paraId="72F41510"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Javna usluga sakupljanja komunalnog otpada podrazumijeva prikupljanje komunalnog otpada na području pružanja javne usluge putem spremnika od pojedinog korisnika i prijevoz i predaju tog otpada ovlaštenoj osobi za obradu takvoga otpada.</w:t>
            </w:r>
          </w:p>
          <w:p w14:paraId="18D902BF" w14:textId="77777777" w:rsidR="0053480A" w:rsidRPr="0053480A" w:rsidRDefault="0053480A" w:rsidP="0053480A">
            <w:pPr>
              <w:jc w:val="both"/>
              <w:rPr>
                <w:rFonts w:asciiTheme="minorHAnsi" w:hAnsiTheme="minorHAnsi" w:cstheme="minorHAnsi"/>
                <w:sz w:val="20"/>
              </w:rPr>
            </w:pPr>
            <w:r w:rsidRPr="00CE4BB3">
              <w:rPr>
                <w:rFonts w:asciiTheme="minorHAnsi" w:hAnsiTheme="minorHAnsi" w:cstheme="minorHAnsi"/>
                <w:i/>
                <w:iCs/>
                <w:sz w:val="20"/>
              </w:rPr>
              <w:t>Zakon o gospodarenju otpadom</w:t>
            </w:r>
            <w:r w:rsidRPr="0053480A">
              <w:rPr>
                <w:rFonts w:asciiTheme="minorHAnsi" w:hAnsiTheme="minorHAnsi" w:cstheme="minorHAnsi"/>
                <w:sz w:val="20"/>
              </w:rPr>
              <w:t xml:space="preserve"> (Narodne novine 84/21 i 142/23) uređuje obavljanje javne usluge sakupljanja komunalnog otpada. </w:t>
            </w:r>
          </w:p>
          <w:p w14:paraId="584B1DA5"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Način obavljanja javne usluge koju na području Grada Zaprešića obavlja ZAPREŠIĆ d.o.o. uređena je </w:t>
            </w:r>
            <w:r w:rsidRPr="00CE4BB3">
              <w:rPr>
                <w:rFonts w:asciiTheme="minorHAnsi" w:hAnsiTheme="minorHAnsi" w:cstheme="minorHAnsi"/>
                <w:i/>
                <w:iCs/>
                <w:sz w:val="20"/>
              </w:rPr>
              <w:t>Odlukom o  načinu pružanja javne usluge prikupljanja miješanog komunalnog otpada i biorazgradivog komunalnog otpada na području grada Zaprešića</w:t>
            </w:r>
            <w:r w:rsidRPr="0053480A">
              <w:rPr>
                <w:rFonts w:asciiTheme="minorHAnsi" w:hAnsiTheme="minorHAnsi" w:cstheme="minorHAnsi"/>
                <w:sz w:val="20"/>
              </w:rPr>
              <w:t xml:space="preserve"> (Službene novine Grada Zaprešića br. 1/22).</w:t>
            </w:r>
          </w:p>
          <w:p w14:paraId="3FAE574E"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Kriterij obračuna količine miješanog komunalnog otpada je volumen ugovorenog spremnika miješanog komunalnog otpada izražen u litrama i broj stvarno evidentiranih pražnjenja spremnika u obračunskom razdoblju. Korisnici javne usluge razvrstavaju se u kategorije: korisnik kućanstvo i korisnik koji nije kućanstvo (korisnici poslovnih prostora i dr.). </w:t>
            </w:r>
          </w:p>
          <w:p w14:paraId="38DE86C4" w14:textId="308BA980"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Komunalni otpad prikuplja se na lokaciji obračunskog mjesta korisnika javne usluge (u daljnjem tekstu: korisnik usluge) odvojeno u spremnicima za: miješani komunalni otpad, biootpad, reciklabilni komunalni otpad i glomazni otpad.</w:t>
            </w:r>
          </w:p>
          <w:p w14:paraId="4BE4EE03"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Davatelj usluge planom odvoza komunalnog otpada određuje učestalost odvoza, a Odlukom se propisuje najmanja učestalost odvoza. </w:t>
            </w:r>
          </w:p>
          <w:p w14:paraId="288BB6A4"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ZAPREŠIĆ d.o.o. upravlja reciklažnim dvorištima Zaprešić, Bistra i Brdovec. U svim reciklažnim dvorištima dozvoljeno je odlaganje, bez naknade za korisnike javne usluge kategorije kućanstvo s područja Grada Zaprešića. </w:t>
            </w:r>
          </w:p>
          <w:p w14:paraId="12EA8B58"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Predloženom Odlukom propisuju se obveze Davatelja usluge i obveze Korisnika.</w:t>
            </w:r>
          </w:p>
          <w:p w14:paraId="4AF079AC"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Strukturu cijene javne usluge (CJU) čini: cijena obvezne minimalne javne usluge (MJU) i cijena javne usluge za količinu predanog miješanog komunalnog otpada tzv. varijabilni dio. </w:t>
            </w:r>
          </w:p>
          <w:p w14:paraId="06789900"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Predloženom Odlukom propisuje se i ugovorna kazna koju Davatelj usluge naplaćuje Korisniku za postupanje protivno Odluci.</w:t>
            </w:r>
          </w:p>
          <w:p w14:paraId="5B923C7C" w14:textId="77D82435"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Odredbe nove Odluke </w:t>
            </w:r>
            <w:r>
              <w:rPr>
                <w:rFonts w:asciiTheme="minorHAnsi" w:hAnsiTheme="minorHAnsi" w:cstheme="minorHAnsi"/>
                <w:sz w:val="20"/>
              </w:rPr>
              <w:t xml:space="preserve">su </w:t>
            </w:r>
            <w:r w:rsidRPr="0053480A">
              <w:rPr>
                <w:rFonts w:asciiTheme="minorHAnsi" w:hAnsiTheme="minorHAnsi" w:cstheme="minorHAnsi"/>
                <w:sz w:val="20"/>
              </w:rPr>
              <w:t xml:space="preserve">detaljnije i preciznije, osobito u dijelu koji se odnosi na: način odlaganja pojedinih frakcija otpada, korištenje reciklažnog dvorišta te implementaciju novina koje proizlaze iz </w:t>
            </w:r>
            <w:r w:rsidRPr="00CE4BB3">
              <w:rPr>
                <w:rFonts w:asciiTheme="minorHAnsi" w:hAnsiTheme="minorHAnsi" w:cstheme="minorHAnsi"/>
                <w:i/>
                <w:iCs/>
                <w:sz w:val="20"/>
              </w:rPr>
              <w:t>Pravilnika o gospodarenju otpadom</w:t>
            </w:r>
            <w:r w:rsidRPr="0053480A">
              <w:rPr>
                <w:rFonts w:asciiTheme="minorHAnsi" w:hAnsiTheme="minorHAnsi" w:cstheme="minorHAnsi"/>
                <w:sz w:val="20"/>
              </w:rPr>
              <w:t xml:space="preserve"> (Narodne novine 106/22, 138/24). </w:t>
            </w:r>
          </w:p>
          <w:p w14:paraId="142756B0" w14:textId="77777777"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lastRenderedPageBreak/>
              <w:t>Ovom Odlukom se dodatno uređuje korištenje javne usluge od strane korisnika koji imaju neriješen pristupni put vlastitoj nekretnini, čime su popunjene pravne praznine koje su ranije otežavale dosljednu provedbu propisa.</w:t>
            </w:r>
          </w:p>
          <w:p w14:paraId="44355828" w14:textId="13F374D3"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Prijedlogom Odluke mijenja se cijena minimalne javne usluge. Obzirom na porast troškova poslovanja koji se financiraju iz cijene usluge (trošak plaća zaposlenih, goriva, održavanja vozila , plaćanja naknade za odložene količine otpada  Fondu  za zaštitu okoliša i energetsku učinkovitost) nužno je povećati cijenu usluge. </w:t>
            </w:r>
          </w:p>
          <w:p w14:paraId="0E04D4EC" w14:textId="6B4A570A" w:rsidR="0053480A" w:rsidRPr="0053480A" w:rsidRDefault="0053480A" w:rsidP="0053480A">
            <w:pPr>
              <w:jc w:val="both"/>
              <w:rPr>
                <w:rFonts w:asciiTheme="minorHAnsi" w:hAnsiTheme="minorHAnsi" w:cstheme="minorHAnsi"/>
                <w:sz w:val="20"/>
              </w:rPr>
            </w:pPr>
            <w:r w:rsidRPr="0053480A">
              <w:rPr>
                <w:rFonts w:asciiTheme="minorHAnsi" w:hAnsiTheme="minorHAnsi" w:cstheme="minorHAnsi"/>
                <w:sz w:val="20"/>
              </w:rPr>
              <w:t xml:space="preserve">Naknada za odlaganje propisana je Zakonom te </w:t>
            </w:r>
            <w:r w:rsidRPr="00CE4BB3">
              <w:rPr>
                <w:rFonts w:asciiTheme="minorHAnsi" w:hAnsiTheme="minorHAnsi" w:cstheme="minorHAnsi"/>
                <w:i/>
                <w:iCs/>
                <w:sz w:val="20"/>
              </w:rPr>
              <w:t xml:space="preserve">Uredbom o jediničnoj naknadi za odlaganje otpada </w:t>
            </w:r>
            <w:r w:rsidRPr="0053480A">
              <w:rPr>
                <w:rFonts w:asciiTheme="minorHAnsi" w:hAnsiTheme="minorHAnsi" w:cstheme="minorHAnsi"/>
                <w:sz w:val="20"/>
              </w:rPr>
              <w:t>(N</w:t>
            </w:r>
            <w:r>
              <w:rPr>
                <w:rFonts w:asciiTheme="minorHAnsi" w:hAnsiTheme="minorHAnsi" w:cstheme="minorHAnsi"/>
                <w:sz w:val="20"/>
              </w:rPr>
              <w:t>arodne novine br.</w:t>
            </w:r>
            <w:r w:rsidRPr="0053480A">
              <w:rPr>
                <w:rFonts w:asciiTheme="minorHAnsi" w:hAnsiTheme="minorHAnsi" w:cstheme="minorHAnsi"/>
                <w:sz w:val="20"/>
              </w:rPr>
              <w:t xml:space="preserve"> 137/24) koja je stupila na snagu 1. siječnja 2025. godine.  Obveznik plaćanja naknade za odlaganje otpada na odlagalištu je upravitelj odlagališta. Jedinična cijena naknade za odlaganje otpada za 2025. godinu iznosi 30,00 €/t, za 2026. iznosi 35,00 €/t tj. za svaku narednu godinu povećava se za 5,00 €/t te će se morati plaćati sve do zatvaranja odlagališta i početka rada centra za gospodarenje otpadom. Unatoč korekciji, cijena minimalne javne usluge i dalje je među najpovoljnijim  u okruženju, što je osobito važno uzimajući u obzir standard pružanja usluge. Predloženom Odlukom definirani su i kriteriji za umanjenje cijene javne usluge, koji će dodatno poticati korisnike na odvojeno predavanje različitih frakcija otpada. Na taj način izravno se doprinosi  mogućnosti korisnika da učinkovitim odvajanjem različitih frakcija otpada (biootpada, reciklabilnog komunalnog otpada, glomaznog otpada i opasnog komunalnog otpada) od miješanog komunalnog otpada u konačnici smanji cijenu usluge. </w:t>
            </w:r>
          </w:p>
          <w:p w14:paraId="35ED7A0E" w14:textId="1D85A545" w:rsidR="00EA5AD2" w:rsidRPr="00EA5AD2" w:rsidRDefault="0053480A" w:rsidP="0053480A">
            <w:pPr>
              <w:jc w:val="both"/>
              <w:rPr>
                <w:rFonts w:asciiTheme="minorHAnsi" w:hAnsiTheme="minorHAnsi" w:cstheme="minorHAnsi"/>
                <w:sz w:val="20"/>
              </w:rPr>
            </w:pPr>
            <w:r w:rsidRPr="0053480A">
              <w:rPr>
                <w:rFonts w:asciiTheme="minorHAnsi" w:hAnsiTheme="minorHAnsi" w:cstheme="minorHAnsi"/>
                <w:sz w:val="20"/>
              </w:rPr>
              <w:t>Stupanjem na snagu predložene Odluke prestaje važiti Odluka o načinu pružanja javne usluge prikupljanja miješanog komunalnog otpada i biorazgradivog komunalnog otpada na području grada Zaprešića (Službene novine Grada Zaprešića br. 1/22).</w:t>
            </w:r>
          </w:p>
        </w:tc>
      </w:tr>
      <w:tr w:rsidR="009062F6" w:rsidRPr="00EA5AD2" w14:paraId="4F765174" w14:textId="77777777" w:rsidTr="00755D39">
        <w:trPr>
          <w:trHeight w:val="845"/>
          <w:jc w:val="center"/>
        </w:trPr>
        <w:tc>
          <w:tcPr>
            <w:tcW w:w="4503" w:type="dxa"/>
            <w:tcBorders>
              <w:top w:val="single" w:sz="12" w:space="0" w:color="auto"/>
              <w:bottom w:val="single" w:sz="12" w:space="0" w:color="auto"/>
            </w:tcBorders>
            <w:vAlign w:val="center"/>
          </w:tcPr>
          <w:p w14:paraId="17EE565C" w14:textId="50C3E9E1"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lastRenderedPageBreak/>
              <w:t>Ime i prezime osobe odnosno naziv predstavnika zainteresirane javnosti koja daje svoje primjedbe i prijedloge na predloženi nacrt:</w:t>
            </w:r>
          </w:p>
        </w:tc>
        <w:tc>
          <w:tcPr>
            <w:tcW w:w="5528" w:type="dxa"/>
            <w:tcBorders>
              <w:top w:val="single" w:sz="12" w:space="0" w:color="auto"/>
              <w:bottom w:val="single" w:sz="12" w:space="0" w:color="auto"/>
            </w:tcBorders>
            <w:vAlign w:val="center"/>
          </w:tcPr>
          <w:p w14:paraId="2D73D31A" w14:textId="77777777" w:rsidR="009062F6" w:rsidRPr="00EA5AD2" w:rsidRDefault="009062F6" w:rsidP="003A2581">
            <w:pPr>
              <w:pStyle w:val="Default"/>
              <w:rPr>
                <w:rFonts w:asciiTheme="minorHAnsi" w:hAnsiTheme="minorHAnsi" w:cstheme="minorHAnsi"/>
                <w:sz w:val="20"/>
                <w:szCs w:val="20"/>
              </w:rPr>
            </w:pPr>
          </w:p>
        </w:tc>
      </w:tr>
      <w:tr w:rsidR="009062F6" w:rsidRPr="00EA5AD2" w14:paraId="50A79A98" w14:textId="77777777" w:rsidTr="00755D39">
        <w:trPr>
          <w:trHeight w:val="845"/>
          <w:jc w:val="center"/>
        </w:trPr>
        <w:tc>
          <w:tcPr>
            <w:tcW w:w="4503" w:type="dxa"/>
            <w:tcBorders>
              <w:top w:val="single" w:sz="12" w:space="0" w:color="auto"/>
              <w:bottom w:val="single" w:sz="12" w:space="0" w:color="auto"/>
            </w:tcBorders>
            <w:vAlign w:val="center"/>
          </w:tcPr>
          <w:p w14:paraId="08B22AA9" w14:textId="7A455467"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Načelne primjedbe i prijedlozi na predloženi nacrt akta s obrazloženjem:</w:t>
            </w:r>
          </w:p>
        </w:tc>
        <w:tc>
          <w:tcPr>
            <w:tcW w:w="5528" w:type="dxa"/>
            <w:tcBorders>
              <w:top w:val="single" w:sz="12" w:space="0" w:color="auto"/>
              <w:bottom w:val="single" w:sz="12" w:space="0" w:color="auto"/>
            </w:tcBorders>
            <w:vAlign w:val="center"/>
          </w:tcPr>
          <w:p w14:paraId="361B4EB7" w14:textId="77777777" w:rsidR="009062F6" w:rsidRPr="00EA5AD2" w:rsidRDefault="009062F6" w:rsidP="003A2581">
            <w:pPr>
              <w:pStyle w:val="Default"/>
              <w:rPr>
                <w:rFonts w:asciiTheme="minorHAnsi" w:hAnsiTheme="minorHAnsi" w:cstheme="minorHAnsi"/>
                <w:sz w:val="20"/>
                <w:szCs w:val="20"/>
              </w:rPr>
            </w:pPr>
          </w:p>
        </w:tc>
      </w:tr>
      <w:tr w:rsidR="009062F6" w:rsidRPr="00EA5AD2" w14:paraId="2FDFE212" w14:textId="77777777" w:rsidTr="00755D39">
        <w:trPr>
          <w:trHeight w:val="845"/>
          <w:jc w:val="center"/>
        </w:trPr>
        <w:tc>
          <w:tcPr>
            <w:tcW w:w="4503" w:type="dxa"/>
            <w:tcBorders>
              <w:top w:val="single" w:sz="12" w:space="0" w:color="auto"/>
              <w:bottom w:val="single" w:sz="12" w:space="0" w:color="auto"/>
            </w:tcBorders>
            <w:vAlign w:val="center"/>
          </w:tcPr>
          <w:p w14:paraId="3F4E248A" w14:textId="3CDCB62B"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Primjedbe i prijedlozi na pojedine članke nacrta prijedloga akta s obrazloženjem:</w:t>
            </w:r>
          </w:p>
        </w:tc>
        <w:tc>
          <w:tcPr>
            <w:tcW w:w="5528" w:type="dxa"/>
            <w:tcBorders>
              <w:top w:val="single" w:sz="12" w:space="0" w:color="auto"/>
              <w:bottom w:val="single" w:sz="12" w:space="0" w:color="auto"/>
            </w:tcBorders>
            <w:vAlign w:val="center"/>
          </w:tcPr>
          <w:p w14:paraId="33DC9228" w14:textId="77777777" w:rsidR="009062F6" w:rsidRPr="00EA5AD2" w:rsidRDefault="009062F6" w:rsidP="003A2581">
            <w:pPr>
              <w:pStyle w:val="Default"/>
              <w:rPr>
                <w:rFonts w:asciiTheme="minorHAnsi" w:hAnsiTheme="minorHAnsi" w:cstheme="minorHAnsi"/>
                <w:sz w:val="20"/>
                <w:szCs w:val="20"/>
              </w:rPr>
            </w:pPr>
          </w:p>
        </w:tc>
      </w:tr>
      <w:tr w:rsidR="009062F6" w:rsidRPr="00EA5AD2" w14:paraId="251BD3E3" w14:textId="77777777" w:rsidTr="00755D39">
        <w:trPr>
          <w:trHeight w:val="845"/>
          <w:jc w:val="center"/>
        </w:trPr>
        <w:tc>
          <w:tcPr>
            <w:tcW w:w="4503" w:type="dxa"/>
            <w:tcBorders>
              <w:top w:val="single" w:sz="12" w:space="0" w:color="auto"/>
              <w:bottom w:val="single" w:sz="12" w:space="0" w:color="auto"/>
            </w:tcBorders>
            <w:vAlign w:val="center"/>
          </w:tcPr>
          <w:p w14:paraId="4058969B" w14:textId="0EC87FD5"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Ime i prezime osobe (ili osoba) koja je sastavljala primjedbe i prijedloge ili osobe koja predstavlja zainteresiranu javnost, e-mail ili drugi podaci za kontakt:</w:t>
            </w:r>
          </w:p>
        </w:tc>
        <w:tc>
          <w:tcPr>
            <w:tcW w:w="5528" w:type="dxa"/>
            <w:tcBorders>
              <w:top w:val="single" w:sz="12" w:space="0" w:color="auto"/>
              <w:bottom w:val="single" w:sz="12" w:space="0" w:color="auto"/>
            </w:tcBorders>
            <w:vAlign w:val="center"/>
          </w:tcPr>
          <w:p w14:paraId="21967BE5" w14:textId="77777777" w:rsidR="009062F6" w:rsidRPr="00EA5AD2" w:rsidRDefault="009062F6" w:rsidP="003A2581">
            <w:pPr>
              <w:pStyle w:val="Default"/>
              <w:rPr>
                <w:rFonts w:asciiTheme="minorHAnsi" w:hAnsiTheme="minorHAnsi" w:cstheme="minorHAnsi"/>
                <w:sz w:val="20"/>
                <w:szCs w:val="20"/>
              </w:rPr>
            </w:pPr>
          </w:p>
        </w:tc>
      </w:tr>
      <w:tr w:rsidR="009062F6" w:rsidRPr="00EA5AD2" w14:paraId="648E844B" w14:textId="77777777" w:rsidTr="00755D39">
        <w:trPr>
          <w:trHeight w:val="562"/>
          <w:jc w:val="center"/>
        </w:trPr>
        <w:tc>
          <w:tcPr>
            <w:tcW w:w="4503" w:type="dxa"/>
            <w:tcBorders>
              <w:top w:val="single" w:sz="12" w:space="0" w:color="auto"/>
              <w:bottom w:val="single" w:sz="18" w:space="0" w:color="auto"/>
            </w:tcBorders>
            <w:vAlign w:val="center"/>
          </w:tcPr>
          <w:p w14:paraId="2F4BC92D" w14:textId="368B0841" w:rsidR="009062F6" w:rsidRPr="00EA5AD2" w:rsidRDefault="009062F6" w:rsidP="00FF122F">
            <w:pPr>
              <w:rPr>
                <w:rFonts w:asciiTheme="minorHAnsi" w:hAnsiTheme="minorHAnsi" w:cstheme="minorHAnsi"/>
                <w:sz w:val="20"/>
              </w:rPr>
            </w:pPr>
            <w:r w:rsidRPr="00EA5AD2">
              <w:rPr>
                <w:rFonts w:asciiTheme="minorHAnsi" w:hAnsiTheme="minorHAnsi" w:cstheme="minorHAnsi"/>
                <w:sz w:val="20"/>
              </w:rPr>
              <w:t>Datum dostavljanja:</w:t>
            </w:r>
          </w:p>
        </w:tc>
        <w:tc>
          <w:tcPr>
            <w:tcW w:w="5528" w:type="dxa"/>
            <w:tcBorders>
              <w:top w:val="single" w:sz="12" w:space="0" w:color="auto"/>
              <w:bottom w:val="single" w:sz="18" w:space="0" w:color="auto"/>
            </w:tcBorders>
            <w:vAlign w:val="center"/>
          </w:tcPr>
          <w:p w14:paraId="09718F2E" w14:textId="77777777" w:rsidR="009062F6" w:rsidRPr="00EA5AD2" w:rsidRDefault="009062F6" w:rsidP="003A2581">
            <w:pPr>
              <w:pStyle w:val="Default"/>
              <w:rPr>
                <w:rFonts w:asciiTheme="minorHAnsi" w:hAnsiTheme="minorHAnsi" w:cstheme="minorHAnsi"/>
                <w:sz w:val="20"/>
                <w:szCs w:val="20"/>
              </w:rPr>
            </w:pPr>
          </w:p>
        </w:tc>
      </w:tr>
    </w:tbl>
    <w:p w14:paraId="5161219E" w14:textId="77777777" w:rsidR="00F95A35" w:rsidRPr="00EA5AD2" w:rsidRDefault="00F95A35" w:rsidP="00F95A35">
      <w:pPr>
        <w:jc w:val="center"/>
        <w:rPr>
          <w:rFonts w:asciiTheme="minorHAnsi" w:hAnsiTheme="minorHAnsi" w:cstheme="minorHAnsi"/>
          <w:sz w:val="20"/>
        </w:rPr>
      </w:pPr>
    </w:p>
    <w:p w14:paraId="00A628BD" w14:textId="77777777" w:rsidR="00250AE3" w:rsidRPr="00EA5AD2" w:rsidRDefault="00250AE3" w:rsidP="00F95A35">
      <w:pPr>
        <w:jc w:val="center"/>
        <w:rPr>
          <w:rFonts w:asciiTheme="minorHAnsi" w:hAnsiTheme="minorHAnsi" w:cstheme="minorHAnsi"/>
          <w:sz w:val="20"/>
        </w:rPr>
      </w:pPr>
    </w:p>
    <w:p w14:paraId="31D09E66" w14:textId="5A3B9A1D" w:rsidR="009062F6" w:rsidRPr="00EA5AD2" w:rsidRDefault="009062F6" w:rsidP="009062F6">
      <w:pPr>
        <w:jc w:val="both"/>
        <w:rPr>
          <w:rFonts w:asciiTheme="minorHAnsi" w:hAnsiTheme="minorHAnsi" w:cstheme="minorHAnsi"/>
          <w:sz w:val="20"/>
        </w:rPr>
      </w:pPr>
      <w:r w:rsidRPr="00EA5AD2">
        <w:rPr>
          <w:rFonts w:asciiTheme="minorHAnsi" w:hAnsiTheme="minorHAnsi" w:cstheme="minorHAnsi"/>
          <w:sz w:val="20"/>
        </w:rPr>
        <w:t>Napomena:</w:t>
      </w:r>
    </w:p>
    <w:p w14:paraId="20567F5F" w14:textId="57820656" w:rsidR="009062F6" w:rsidRPr="00EA5AD2" w:rsidRDefault="009062F6" w:rsidP="009062F6">
      <w:pPr>
        <w:jc w:val="both"/>
        <w:rPr>
          <w:rFonts w:asciiTheme="minorHAnsi" w:hAnsiTheme="minorHAnsi" w:cstheme="minorHAnsi"/>
          <w:sz w:val="20"/>
        </w:rPr>
      </w:pPr>
      <w:r w:rsidRPr="00EA5AD2">
        <w:rPr>
          <w:rFonts w:asciiTheme="minorHAnsi" w:hAnsiTheme="minorHAnsi" w:cstheme="minorHAnsi"/>
          <w:sz w:val="20"/>
        </w:rPr>
        <w:t xml:space="preserve">Popunjeni obrazac dostaviti na adresu elektroničke pošte: </w:t>
      </w:r>
      <w:hyperlink r:id="rId6" w:history="1">
        <w:r w:rsidR="003109D1" w:rsidRPr="00EA5AD2">
          <w:rPr>
            <w:rStyle w:val="Hiperveza"/>
            <w:rFonts w:asciiTheme="minorHAnsi" w:hAnsiTheme="minorHAnsi" w:cstheme="minorHAnsi"/>
            <w:color w:val="auto"/>
            <w:sz w:val="20"/>
          </w:rPr>
          <w:t>azlacki@zapresic.hr</w:t>
        </w:r>
      </w:hyperlink>
      <w:r w:rsidR="002A28DD" w:rsidRPr="00EA5AD2">
        <w:rPr>
          <w:rFonts w:asciiTheme="minorHAnsi" w:hAnsiTheme="minorHAnsi" w:cstheme="minorHAnsi"/>
          <w:sz w:val="20"/>
        </w:rPr>
        <w:t xml:space="preserve"> </w:t>
      </w:r>
      <w:r w:rsidRPr="00EA5AD2">
        <w:rPr>
          <w:rFonts w:asciiTheme="minorHAnsi" w:hAnsiTheme="minorHAnsi" w:cstheme="minorHAnsi"/>
          <w:sz w:val="20"/>
        </w:rPr>
        <w:t xml:space="preserve">zaključno do </w:t>
      </w:r>
      <w:r w:rsidR="00711DE6">
        <w:rPr>
          <w:rFonts w:asciiTheme="minorHAnsi" w:hAnsiTheme="minorHAnsi" w:cstheme="minorHAnsi"/>
          <w:sz w:val="20"/>
        </w:rPr>
        <w:t>2</w:t>
      </w:r>
      <w:r w:rsidR="0053480A">
        <w:rPr>
          <w:rFonts w:asciiTheme="minorHAnsi" w:hAnsiTheme="minorHAnsi" w:cstheme="minorHAnsi"/>
          <w:sz w:val="20"/>
        </w:rPr>
        <w:t>6</w:t>
      </w:r>
      <w:r w:rsidRPr="00EA5AD2">
        <w:rPr>
          <w:rFonts w:asciiTheme="minorHAnsi" w:hAnsiTheme="minorHAnsi" w:cstheme="minorHAnsi"/>
          <w:sz w:val="20"/>
        </w:rPr>
        <w:t>.</w:t>
      </w:r>
      <w:r w:rsidR="002D43D3" w:rsidRPr="00EA5AD2">
        <w:rPr>
          <w:rFonts w:asciiTheme="minorHAnsi" w:hAnsiTheme="minorHAnsi" w:cstheme="minorHAnsi"/>
          <w:sz w:val="20"/>
        </w:rPr>
        <w:t>0</w:t>
      </w:r>
      <w:r w:rsidR="0053480A">
        <w:rPr>
          <w:rFonts w:asciiTheme="minorHAnsi" w:hAnsiTheme="minorHAnsi" w:cstheme="minorHAnsi"/>
          <w:sz w:val="20"/>
        </w:rPr>
        <w:t>2</w:t>
      </w:r>
      <w:r w:rsidR="00126BFB" w:rsidRPr="00EA5AD2">
        <w:rPr>
          <w:rFonts w:asciiTheme="minorHAnsi" w:hAnsiTheme="minorHAnsi" w:cstheme="minorHAnsi"/>
          <w:sz w:val="20"/>
        </w:rPr>
        <w:t>.</w:t>
      </w:r>
      <w:r w:rsidRPr="00EA5AD2">
        <w:rPr>
          <w:rFonts w:asciiTheme="minorHAnsi" w:hAnsiTheme="minorHAnsi" w:cstheme="minorHAnsi"/>
          <w:sz w:val="20"/>
        </w:rPr>
        <w:t>202</w:t>
      </w:r>
      <w:r w:rsidR="0053480A">
        <w:rPr>
          <w:rFonts w:asciiTheme="minorHAnsi" w:hAnsiTheme="minorHAnsi" w:cstheme="minorHAnsi"/>
          <w:sz w:val="20"/>
        </w:rPr>
        <w:t>6</w:t>
      </w:r>
      <w:r w:rsidRPr="00EA5AD2">
        <w:rPr>
          <w:rFonts w:asciiTheme="minorHAnsi" w:hAnsiTheme="minorHAnsi" w:cstheme="minorHAnsi"/>
          <w:sz w:val="20"/>
        </w:rPr>
        <w:t>.</w:t>
      </w:r>
      <w:r w:rsidR="00126BFB" w:rsidRPr="00EA5AD2">
        <w:rPr>
          <w:rFonts w:asciiTheme="minorHAnsi" w:hAnsiTheme="minorHAnsi" w:cstheme="minorHAnsi"/>
          <w:sz w:val="20"/>
        </w:rPr>
        <w:t>g.</w:t>
      </w:r>
    </w:p>
    <w:p w14:paraId="66C24937" w14:textId="77777777" w:rsidR="004C4C44" w:rsidRPr="00EA5AD2" w:rsidRDefault="004C4C44" w:rsidP="004C4C44">
      <w:pPr>
        <w:jc w:val="both"/>
        <w:rPr>
          <w:rFonts w:asciiTheme="minorHAnsi" w:hAnsiTheme="minorHAnsi" w:cstheme="minorHAnsi"/>
          <w:sz w:val="20"/>
        </w:rPr>
      </w:pPr>
    </w:p>
    <w:p w14:paraId="167BFD30" w14:textId="051737BF"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 xml:space="preserve">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 Grad Zaprešić kao voditelj obrade obrađuje osobne podatke isključivo u svrhu ostvarenja prava sudionika savjetovanja/ispitanika na sudjelovanje u postupku savjetovanja s javnošću, uz napomenu kako je takva obrada nužna zbog zakonitog provođenja predmetnog postupka. </w:t>
      </w:r>
    </w:p>
    <w:p w14:paraId="2DACC7EC"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Pravna osnova za obavljanje djelatnosti, a time i obradu osobnih podataka sudionika savjetovanja/ispitanika, proizlazi iz Zakona o pravu na pristup informacijama („Narodne novine“ broj 25/13 i 85/15).</w:t>
      </w:r>
    </w:p>
    <w:p w14:paraId="587E6606"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lastRenderedPageBreak/>
        <w:t xml:space="preserve">Sudionik savjetovanja/ispitanik, budući da je obrada podataka nužna za provođenje zadaće koja se obavlja zbog javnog interesa, odnosno pri izvršavanju službene ovlasti voditelja obrade, može u smislu članka 21. stavka 6. Opće uredbe o zaštiti podataka podnijeti prigovor.  </w:t>
      </w:r>
    </w:p>
    <w:p w14:paraId="041CE45A"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Sudionik savjetovanja/ispitanik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u pravilu ne primjenjuje pravo na prenosivost podataka.</w:t>
      </w:r>
    </w:p>
    <w:p w14:paraId="637100F3" w14:textId="77777777" w:rsidR="004C4C44"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Osim u svrhu izvršavanja svojih javnopravnih i službenih ovlasti te zakonom propisanih obveza, osobni podaci koje voditelj obrade prikuplja ne čine se dostupnim trećim privatnim i pravnim subjektima te trećim zemljama.</w:t>
      </w:r>
    </w:p>
    <w:p w14:paraId="013E4339" w14:textId="77777777" w:rsidR="004C4C44" w:rsidRPr="00EA5AD2" w:rsidRDefault="004C4C44" w:rsidP="004C4C44">
      <w:pPr>
        <w:jc w:val="both"/>
        <w:rPr>
          <w:rFonts w:asciiTheme="minorHAnsi" w:hAnsiTheme="minorHAnsi" w:cstheme="minorHAnsi"/>
          <w:sz w:val="20"/>
        </w:rPr>
      </w:pPr>
    </w:p>
    <w:p w14:paraId="77979DBF" w14:textId="4AF59B9E" w:rsidR="009062F6" w:rsidRPr="00EA5AD2" w:rsidRDefault="004C4C44" w:rsidP="004C4C44">
      <w:pPr>
        <w:jc w:val="both"/>
        <w:rPr>
          <w:rFonts w:asciiTheme="minorHAnsi" w:hAnsiTheme="minorHAnsi" w:cstheme="minorHAnsi"/>
          <w:sz w:val="20"/>
        </w:rPr>
      </w:pPr>
      <w:r w:rsidRPr="00EA5AD2">
        <w:rPr>
          <w:rFonts w:asciiTheme="minorHAnsi" w:hAnsiTheme="minorHAnsi" w:cstheme="minorHAnsi"/>
          <w:sz w:val="20"/>
        </w:rPr>
        <w:t>Po završetku savjetovanja, sve pristigle primjedbe/prijedlozi biti će javno dostupni na internetskoj stranici Grada Zaprešića. Ukoliko ne želite da Vaši osobni podaci (ime i prezime) budu javno objavljeni, molimo da to jasno istaknete pri slanju obrasca.</w:t>
      </w:r>
      <w:r w:rsidR="00C66762" w:rsidRPr="00EA5AD2">
        <w:rPr>
          <w:rFonts w:asciiTheme="minorHAnsi" w:hAnsiTheme="minorHAnsi" w:cstheme="minorHAnsi"/>
          <w:sz w:val="20"/>
        </w:rPr>
        <w:t xml:space="preserve"> Anonimni, irelevantni te uvredljivi komentari neće se objaviti.</w:t>
      </w:r>
    </w:p>
    <w:sectPr w:rsidR="009062F6" w:rsidRPr="00EA5AD2" w:rsidSect="001E4D95">
      <w:pgSz w:w="11907" w:h="16840" w:code="9"/>
      <w:pgMar w:top="851" w:right="851" w:bottom="851" w:left="1418" w:header="567" w:footer="851" w:gutter="0"/>
      <w:paperSrc w:first="1" w:other="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332"/>
    <w:multiLevelType w:val="hybridMultilevel"/>
    <w:tmpl w:val="701A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1E41BC"/>
    <w:multiLevelType w:val="hybridMultilevel"/>
    <w:tmpl w:val="F3046876"/>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 w15:restartNumberingAfterBreak="0">
    <w:nsid w:val="634B735D"/>
    <w:multiLevelType w:val="hybridMultilevel"/>
    <w:tmpl w:val="2AAC6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E50213F"/>
    <w:multiLevelType w:val="hybridMultilevel"/>
    <w:tmpl w:val="47D2D3BE"/>
    <w:lvl w:ilvl="0" w:tplc="ACDE68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7588704">
    <w:abstractNumId w:val="2"/>
  </w:num>
  <w:num w:numId="2" w16cid:durableId="570038741">
    <w:abstractNumId w:val="1"/>
  </w:num>
  <w:num w:numId="3" w16cid:durableId="1555039008">
    <w:abstractNumId w:val="3"/>
  </w:num>
  <w:num w:numId="4" w16cid:durableId="76283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35"/>
    <w:rsid w:val="00030EA9"/>
    <w:rsid w:val="00072BB5"/>
    <w:rsid w:val="00081E85"/>
    <w:rsid w:val="000A146C"/>
    <w:rsid w:val="000C3B3C"/>
    <w:rsid w:val="000F3D98"/>
    <w:rsid w:val="0011465D"/>
    <w:rsid w:val="0012321A"/>
    <w:rsid w:val="00126BFB"/>
    <w:rsid w:val="001B0DE2"/>
    <w:rsid w:val="001E198A"/>
    <w:rsid w:val="001E4D95"/>
    <w:rsid w:val="00211440"/>
    <w:rsid w:val="00250AE3"/>
    <w:rsid w:val="0029796E"/>
    <w:rsid w:val="002A28DD"/>
    <w:rsid w:val="002C5BCD"/>
    <w:rsid w:val="002D43D3"/>
    <w:rsid w:val="003109D1"/>
    <w:rsid w:val="0033007A"/>
    <w:rsid w:val="00345BBE"/>
    <w:rsid w:val="00352BC5"/>
    <w:rsid w:val="003567A3"/>
    <w:rsid w:val="003602DE"/>
    <w:rsid w:val="00386E76"/>
    <w:rsid w:val="003B6A68"/>
    <w:rsid w:val="003B7C7D"/>
    <w:rsid w:val="003C19E7"/>
    <w:rsid w:val="003C49D4"/>
    <w:rsid w:val="003D0306"/>
    <w:rsid w:val="003D4195"/>
    <w:rsid w:val="003F56F6"/>
    <w:rsid w:val="004163A1"/>
    <w:rsid w:val="00431D92"/>
    <w:rsid w:val="00432DBF"/>
    <w:rsid w:val="00453E93"/>
    <w:rsid w:val="00462132"/>
    <w:rsid w:val="004C4C44"/>
    <w:rsid w:val="005139E9"/>
    <w:rsid w:val="005302C7"/>
    <w:rsid w:val="0053480A"/>
    <w:rsid w:val="00553258"/>
    <w:rsid w:val="005546D9"/>
    <w:rsid w:val="005C77AA"/>
    <w:rsid w:val="005D54EB"/>
    <w:rsid w:val="005E39DD"/>
    <w:rsid w:val="005E3C81"/>
    <w:rsid w:val="0066576C"/>
    <w:rsid w:val="006C1302"/>
    <w:rsid w:val="006E62D9"/>
    <w:rsid w:val="00711DE6"/>
    <w:rsid w:val="007303EF"/>
    <w:rsid w:val="00730408"/>
    <w:rsid w:val="00735AFF"/>
    <w:rsid w:val="00755D39"/>
    <w:rsid w:val="00784C9E"/>
    <w:rsid w:val="00792BFF"/>
    <w:rsid w:val="007F0455"/>
    <w:rsid w:val="0083577D"/>
    <w:rsid w:val="00840A8A"/>
    <w:rsid w:val="00845520"/>
    <w:rsid w:val="00851ECC"/>
    <w:rsid w:val="0085722B"/>
    <w:rsid w:val="008B7EB6"/>
    <w:rsid w:val="009062F6"/>
    <w:rsid w:val="00912BCB"/>
    <w:rsid w:val="00983714"/>
    <w:rsid w:val="009B3BDC"/>
    <w:rsid w:val="009C1029"/>
    <w:rsid w:val="009D23FE"/>
    <w:rsid w:val="009D379B"/>
    <w:rsid w:val="009F4A64"/>
    <w:rsid w:val="00A30CF7"/>
    <w:rsid w:val="00A548D4"/>
    <w:rsid w:val="00A94C17"/>
    <w:rsid w:val="00B10A3D"/>
    <w:rsid w:val="00B27AD4"/>
    <w:rsid w:val="00B4243E"/>
    <w:rsid w:val="00B52788"/>
    <w:rsid w:val="00B550FB"/>
    <w:rsid w:val="00BB6BAB"/>
    <w:rsid w:val="00C51FF2"/>
    <w:rsid w:val="00C66762"/>
    <w:rsid w:val="00C93464"/>
    <w:rsid w:val="00CC0846"/>
    <w:rsid w:val="00CD7401"/>
    <w:rsid w:val="00CE4BB3"/>
    <w:rsid w:val="00CE5652"/>
    <w:rsid w:val="00D31DA2"/>
    <w:rsid w:val="00D77BC6"/>
    <w:rsid w:val="00D97A17"/>
    <w:rsid w:val="00DA5B5B"/>
    <w:rsid w:val="00DB4D41"/>
    <w:rsid w:val="00DC0E2D"/>
    <w:rsid w:val="00E033ED"/>
    <w:rsid w:val="00E10865"/>
    <w:rsid w:val="00E25763"/>
    <w:rsid w:val="00E264F3"/>
    <w:rsid w:val="00E4074D"/>
    <w:rsid w:val="00E569EF"/>
    <w:rsid w:val="00E852F3"/>
    <w:rsid w:val="00E85EC7"/>
    <w:rsid w:val="00E92178"/>
    <w:rsid w:val="00E938F7"/>
    <w:rsid w:val="00EA5AD2"/>
    <w:rsid w:val="00EE6D43"/>
    <w:rsid w:val="00F01D0B"/>
    <w:rsid w:val="00F03DDF"/>
    <w:rsid w:val="00F17315"/>
    <w:rsid w:val="00F22BF3"/>
    <w:rsid w:val="00F5612B"/>
    <w:rsid w:val="00F93FDF"/>
    <w:rsid w:val="00F95A35"/>
    <w:rsid w:val="00FD4EE3"/>
    <w:rsid w:val="00FF122F"/>
    <w:rsid w:val="00FF5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AC55"/>
  <w15:docId w15:val="{E458DC12-9EC2-4059-88C9-C86069C3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35"/>
    <w:pPr>
      <w:ind w:firstLine="0"/>
      <w:jc w:val="left"/>
    </w:pPr>
    <w:rPr>
      <w:rFonts w:ascii="Times New Roman" w:eastAsia="Times New Roman" w:hAnsi="Times New Roman" w:cs="Times New Roman"/>
      <w:szCs w:val="20"/>
      <w:lang w:eastAsia="hr-HR"/>
    </w:rPr>
  </w:style>
  <w:style w:type="paragraph" w:styleId="Naslov2">
    <w:name w:val="heading 2"/>
    <w:basedOn w:val="Normal"/>
    <w:next w:val="Normal"/>
    <w:link w:val="Naslov2Char"/>
    <w:uiPriority w:val="9"/>
    <w:semiHidden/>
    <w:unhideWhenUsed/>
    <w:qFormat/>
    <w:rsid w:val="00EA5AD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95A35"/>
    <w:pPr>
      <w:ind w:firstLine="0"/>
      <w:jc w:val="left"/>
    </w:pPr>
    <w:rPr>
      <w:rFonts w:ascii="Times New Roman" w:eastAsia="Times New Roman" w:hAnsi="Times New Roman" w:cs="Times New Roman"/>
      <w:sz w:val="24"/>
      <w:szCs w:val="24"/>
      <w:lang w:eastAsia="hr-HR"/>
    </w:rPr>
  </w:style>
  <w:style w:type="paragraph" w:customStyle="1" w:styleId="Default">
    <w:name w:val="Default"/>
    <w:rsid w:val="00F95A35"/>
    <w:pPr>
      <w:autoSpaceDE w:val="0"/>
      <w:autoSpaceDN w:val="0"/>
      <w:adjustRightInd w:val="0"/>
      <w:ind w:firstLine="0"/>
      <w:jc w:val="left"/>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792BFF"/>
    <w:pPr>
      <w:ind w:left="720"/>
      <w:contextualSpacing/>
    </w:pPr>
  </w:style>
  <w:style w:type="character" w:styleId="Hiperveza">
    <w:name w:val="Hyperlink"/>
    <w:basedOn w:val="Zadanifontodlomka"/>
    <w:uiPriority w:val="99"/>
    <w:unhideWhenUsed/>
    <w:rsid w:val="002A28DD"/>
    <w:rPr>
      <w:color w:val="0000FF" w:themeColor="hyperlink"/>
      <w:u w:val="single"/>
    </w:rPr>
  </w:style>
  <w:style w:type="character" w:styleId="Nerijeenospominjanje">
    <w:name w:val="Unresolved Mention"/>
    <w:basedOn w:val="Zadanifontodlomka"/>
    <w:uiPriority w:val="99"/>
    <w:semiHidden/>
    <w:unhideWhenUsed/>
    <w:rsid w:val="002A28DD"/>
    <w:rPr>
      <w:color w:val="605E5C"/>
      <w:shd w:val="clear" w:color="auto" w:fill="E1DFDD"/>
    </w:rPr>
  </w:style>
  <w:style w:type="character" w:customStyle="1" w:styleId="Naslov2Char">
    <w:name w:val="Naslov 2 Char"/>
    <w:basedOn w:val="Zadanifontodlomka"/>
    <w:link w:val="Naslov2"/>
    <w:uiPriority w:val="9"/>
    <w:semiHidden/>
    <w:rsid w:val="00EA5AD2"/>
    <w:rPr>
      <w:rFonts w:asciiTheme="majorHAnsi" w:eastAsiaTheme="majorEastAsia" w:hAnsiTheme="majorHAnsi" w:cstheme="majorBidi"/>
      <w:color w:val="365F91" w:themeColor="accent1" w:themeShade="BF"/>
      <w:kern w:val="2"/>
      <w:sz w:val="32"/>
      <w:szCs w:val="3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lacki@zapresi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C97AA-C738-4A9E-8A83-31D4747B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1130</Words>
  <Characters>6441</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Cindrić</dc:creator>
  <cp:lastModifiedBy>Alen Zlački</cp:lastModifiedBy>
  <cp:revision>31</cp:revision>
  <cp:lastPrinted>2025-03-19T08:42:00Z</cp:lastPrinted>
  <dcterms:created xsi:type="dcterms:W3CDTF">2022-10-26T10:30:00Z</dcterms:created>
  <dcterms:modified xsi:type="dcterms:W3CDTF">2026-01-26T08:26:00Z</dcterms:modified>
</cp:coreProperties>
</file>