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jc w:val="center"/>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4503"/>
        <w:gridCol w:w="5528"/>
      </w:tblGrid>
      <w:tr w:rsidR="00F95A35" w:rsidRPr="00EA5AD2" w14:paraId="19C7005C" w14:textId="77777777" w:rsidTr="00755D39">
        <w:trPr>
          <w:trHeight w:val="416"/>
          <w:jc w:val="center"/>
        </w:trPr>
        <w:tc>
          <w:tcPr>
            <w:tcW w:w="10031" w:type="dxa"/>
            <w:gridSpan w:val="2"/>
            <w:vAlign w:val="center"/>
          </w:tcPr>
          <w:p w14:paraId="6EAFA494" w14:textId="77777777" w:rsidR="00F95A35" w:rsidRPr="00806979" w:rsidRDefault="00D77BC6" w:rsidP="003A2581">
            <w:pPr>
              <w:jc w:val="center"/>
              <w:rPr>
                <w:rFonts w:asciiTheme="minorHAnsi" w:hAnsiTheme="minorHAnsi" w:cstheme="minorHAnsi"/>
                <w:b/>
                <w:sz w:val="20"/>
              </w:rPr>
            </w:pPr>
            <w:r w:rsidRPr="00806979">
              <w:rPr>
                <w:rFonts w:asciiTheme="minorHAnsi" w:hAnsiTheme="minorHAnsi" w:cstheme="minorHAnsi"/>
                <w:b/>
                <w:sz w:val="20"/>
              </w:rPr>
              <w:t xml:space="preserve">OBRAZAC </w:t>
            </w:r>
          </w:p>
          <w:p w14:paraId="38FFE5E5" w14:textId="3E728B80" w:rsidR="00806979" w:rsidRPr="00806979" w:rsidRDefault="009062F6" w:rsidP="00806979">
            <w:pPr>
              <w:autoSpaceDE w:val="0"/>
              <w:autoSpaceDN w:val="0"/>
              <w:adjustRightInd w:val="0"/>
              <w:jc w:val="center"/>
              <w:rPr>
                <w:rFonts w:asciiTheme="minorHAnsi" w:eastAsiaTheme="minorHAnsi" w:hAnsiTheme="minorHAnsi" w:cstheme="minorHAnsi"/>
                <w:sz w:val="20"/>
                <w:lang w:eastAsia="en-US"/>
              </w:rPr>
            </w:pPr>
            <w:r w:rsidRPr="00806979">
              <w:rPr>
                <w:rFonts w:asciiTheme="minorHAnsi" w:hAnsiTheme="minorHAnsi" w:cstheme="minorHAnsi"/>
                <w:b/>
                <w:sz w:val="20"/>
              </w:rPr>
              <w:t>s</w:t>
            </w:r>
            <w:r w:rsidR="00D77BC6" w:rsidRPr="00806979">
              <w:rPr>
                <w:rFonts w:asciiTheme="minorHAnsi" w:hAnsiTheme="minorHAnsi" w:cstheme="minorHAnsi"/>
                <w:b/>
                <w:sz w:val="20"/>
              </w:rPr>
              <w:t xml:space="preserve">udjelovanja javnosti u savjetovanju o </w:t>
            </w:r>
            <w:r w:rsidR="00CC0846" w:rsidRPr="00806979">
              <w:rPr>
                <w:rFonts w:asciiTheme="minorHAnsi" w:hAnsiTheme="minorHAnsi" w:cstheme="minorHAnsi"/>
                <w:b/>
                <w:sz w:val="20"/>
              </w:rPr>
              <w:t>N</w:t>
            </w:r>
            <w:r w:rsidR="00126BFB" w:rsidRPr="00806979">
              <w:rPr>
                <w:rFonts w:asciiTheme="minorHAnsi" w:hAnsiTheme="minorHAnsi" w:cstheme="minorHAnsi"/>
                <w:b/>
                <w:sz w:val="20"/>
              </w:rPr>
              <w:t xml:space="preserve">acrtu </w:t>
            </w:r>
            <w:r w:rsidR="00711DE6" w:rsidRPr="00806979">
              <w:rPr>
                <w:rFonts w:asciiTheme="minorHAnsi" w:hAnsiTheme="minorHAnsi" w:cstheme="minorHAnsi"/>
                <w:b/>
                <w:sz w:val="20"/>
              </w:rPr>
              <w:t xml:space="preserve">prijedloga Odluke </w:t>
            </w:r>
            <w:r w:rsidR="0053480A" w:rsidRPr="00806979">
              <w:rPr>
                <w:rFonts w:asciiTheme="minorHAnsi" w:hAnsiTheme="minorHAnsi" w:cstheme="minorHAnsi"/>
                <w:b/>
                <w:sz w:val="20"/>
              </w:rPr>
              <w:t xml:space="preserve">o </w:t>
            </w:r>
            <w:r w:rsidR="00806979" w:rsidRPr="00806979">
              <w:rPr>
                <w:rFonts w:asciiTheme="minorHAnsi" w:eastAsiaTheme="minorEastAsia" w:hAnsiTheme="minorHAnsi" w:cstheme="minorHAnsi"/>
                <w:b/>
                <w:bCs/>
                <w:sz w:val="20"/>
              </w:rPr>
              <w:t>načinu plaćanja naknade za korištenje odlagališta komunalnog otpada Novi dvori Zaprešić</w:t>
            </w:r>
          </w:p>
          <w:p w14:paraId="68EAFBB3" w14:textId="4C2352E4" w:rsidR="00D77BC6" w:rsidRPr="00EA5AD2" w:rsidRDefault="00D77BC6" w:rsidP="0053480A">
            <w:pPr>
              <w:jc w:val="center"/>
              <w:rPr>
                <w:rFonts w:asciiTheme="minorHAnsi" w:hAnsiTheme="minorHAnsi" w:cstheme="minorHAnsi"/>
                <w:b/>
                <w:sz w:val="20"/>
              </w:rPr>
            </w:pPr>
          </w:p>
        </w:tc>
      </w:tr>
      <w:tr w:rsidR="00FF122F" w:rsidRPr="00EA5AD2" w14:paraId="04DDECA3" w14:textId="77777777" w:rsidTr="00755D39">
        <w:trPr>
          <w:trHeight w:val="415"/>
          <w:jc w:val="center"/>
        </w:trPr>
        <w:tc>
          <w:tcPr>
            <w:tcW w:w="4503" w:type="dxa"/>
            <w:vAlign w:val="center"/>
          </w:tcPr>
          <w:p w14:paraId="5DE4C162" w14:textId="361A0E85" w:rsidR="00FF122F" w:rsidRPr="00EA5AD2" w:rsidRDefault="00FF122F" w:rsidP="00FF122F">
            <w:pPr>
              <w:rPr>
                <w:rFonts w:asciiTheme="minorHAnsi" w:hAnsiTheme="minorHAnsi" w:cstheme="minorHAnsi"/>
                <w:sz w:val="20"/>
              </w:rPr>
            </w:pPr>
            <w:r w:rsidRPr="00EA5AD2">
              <w:rPr>
                <w:rFonts w:asciiTheme="minorHAnsi" w:hAnsiTheme="minorHAnsi" w:cstheme="minorHAnsi"/>
                <w:sz w:val="20"/>
              </w:rPr>
              <w:t>Naziv akta o kojem je savjetovanje prov</w:t>
            </w:r>
            <w:r w:rsidR="002C5BCD" w:rsidRPr="00EA5AD2">
              <w:rPr>
                <w:rFonts w:asciiTheme="minorHAnsi" w:hAnsiTheme="minorHAnsi" w:cstheme="minorHAnsi"/>
                <w:sz w:val="20"/>
              </w:rPr>
              <w:t>odi</w:t>
            </w:r>
            <w:r w:rsidRPr="00EA5AD2">
              <w:rPr>
                <w:rFonts w:asciiTheme="minorHAnsi" w:hAnsiTheme="minorHAnsi" w:cstheme="minorHAnsi"/>
                <w:sz w:val="20"/>
              </w:rPr>
              <w:t>:</w:t>
            </w:r>
          </w:p>
        </w:tc>
        <w:tc>
          <w:tcPr>
            <w:tcW w:w="5528" w:type="dxa"/>
            <w:vAlign w:val="center"/>
          </w:tcPr>
          <w:p w14:paraId="18FB89B0" w14:textId="76F7832C" w:rsidR="00FF122F" w:rsidRPr="00EA5AD2" w:rsidRDefault="00983714" w:rsidP="0053480A">
            <w:pPr>
              <w:rPr>
                <w:rFonts w:asciiTheme="minorHAnsi" w:hAnsiTheme="minorHAnsi" w:cstheme="minorHAnsi"/>
                <w:bCs/>
                <w:sz w:val="20"/>
              </w:rPr>
            </w:pPr>
            <w:r w:rsidRPr="00EA5AD2">
              <w:rPr>
                <w:rFonts w:asciiTheme="minorHAnsi" w:hAnsiTheme="minorHAnsi" w:cstheme="minorHAnsi"/>
                <w:bCs/>
                <w:sz w:val="20"/>
              </w:rPr>
              <w:t xml:space="preserve">Nacrt </w:t>
            </w:r>
            <w:r w:rsidR="00EA5AD2" w:rsidRPr="00EA5AD2">
              <w:rPr>
                <w:rFonts w:asciiTheme="minorHAnsi" w:hAnsiTheme="minorHAnsi" w:cstheme="minorHAnsi"/>
                <w:bCs/>
                <w:sz w:val="20"/>
              </w:rPr>
              <w:t xml:space="preserve">prijedloga </w:t>
            </w:r>
            <w:r w:rsidR="00806979" w:rsidRPr="00806979">
              <w:rPr>
                <w:rFonts w:asciiTheme="minorHAnsi" w:hAnsiTheme="minorHAnsi" w:cstheme="minorHAnsi"/>
                <w:bCs/>
                <w:sz w:val="20"/>
              </w:rPr>
              <w:t>Odluke o načinu plaćanja naknade za korištenje odlagališta komunalnog otpada Novi dvori Zaprešić</w:t>
            </w:r>
          </w:p>
        </w:tc>
      </w:tr>
      <w:tr w:rsidR="00FF122F" w:rsidRPr="00EA5AD2" w14:paraId="3A5AF754" w14:textId="77777777" w:rsidTr="00755D39">
        <w:trPr>
          <w:trHeight w:val="845"/>
          <w:jc w:val="center"/>
        </w:trPr>
        <w:tc>
          <w:tcPr>
            <w:tcW w:w="4503" w:type="dxa"/>
            <w:tcBorders>
              <w:bottom w:val="single" w:sz="12" w:space="0" w:color="auto"/>
            </w:tcBorders>
            <w:vAlign w:val="center"/>
          </w:tcPr>
          <w:p w14:paraId="11B05C5D" w14:textId="503651CE" w:rsidR="00FF122F" w:rsidRPr="00EA5AD2" w:rsidRDefault="00FF122F" w:rsidP="0085722B">
            <w:pPr>
              <w:pStyle w:val="Bezproreda"/>
              <w:jc w:val="both"/>
              <w:rPr>
                <w:rFonts w:asciiTheme="minorHAnsi" w:hAnsiTheme="minorHAnsi" w:cstheme="minorHAnsi"/>
                <w:sz w:val="20"/>
                <w:szCs w:val="20"/>
              </w:rPr>
            </w:pPr>
            <w:r w:rsidRPr="00EA5AD2">
              <w:rPr>
                <w:rFonts w:asciiTheme="minorHAnsi" w:hAnsiTheme="minorHAnsi" w:cstheme="minorHAnsi"/>
                <w:sz w:val="20"/>
                <w:szCs w:val="20"/>
              </w:rPr>
              <w:t xml:space="preserve">Vrijeme trajanja savjetovanja: </w:t>
            </w:r>
          </w:p>
        </w:tc>
        <w:tc>
          <w:tcPr>
            <w:tcW w:w="5528" w:type="dxa"/>
            <w:tcBorders>
              <w:bottom w:val="single" w:sz="12" w:space="0" w:color="auto"/>
            </w:tcBorders>
            <w:vAlign w:val="center"/>
          </w:tcPr>
          <w:p w14:paraId="50CBED49" w14:textId="7BB502DD" w:rsidR="00FF122F" w:rsidRPr="00EA5AD2" w:rsidRDefault="0053480A" w:rsidP="0085722B">
            <w:pPr>
              <w:pStyle w:val="Bezproreda"/>
              <w:jc w:val="both"/>
              <w:rPr>
                <w:rFonts w:asciiTheme="minorHAnsi" w:hAnsiTheme="minorHAnsi" w:cstheme="minorHAnsi"/>
                <w:color w:val="FF0000"/>
                <w:sz w:val="20"/>
                <w:szCs w:val="20"/>
              </w:rPr>
            </w:pPr>
            <w:r>
              <w:rPr>
                <w:rFonts w:asciiTheme="minorHAnsi" w:hAnsiTheme="minorHAnsi" w:cstheme="minorHAnsi"/>
                <w:sz w:val="20"/>
                <w:szCs w:val="20"/>
              </w:rPr>
              <w:t>2</w:t>
            </w:r>
            <w:r w:rsidR="00806979">
              <w:rPr>
                <w:rFonts w:asciiTheme="minorHAnsi" w:hAnsiTheme="minorHAnsi" w:cstheme="minorHAnsi"/>
                <w:sz w:val="20"/>
                <w:szCs w:val="20"/>
              </w:rPr>
              <w:t>8</w:t>
            </w:r>
            <w:r w:rsidR="00D77BC6" w:rsidRPr="00EA5AD2">
              <w:rPr>
                <w:rFonts w:asciiTheme="minorHAnsi" w:hAnsiTheme="minorHAnsi" w:cstheme="minorHAnsi"/>
                <w:sz w:val="20"/>
                <w:szCs w:val="20"/>
              </w:rPr>
              <w:t>.</w:t>
            </w:r>
            <w:r w:rsidR="009F4A64" w:rsidRPr="00EA5AD2">
              <w:rPr>
                <w:rFonts w:asciiTheme="minorHAnsi" w:hAnsiTheme="minorHAnsi" w:cstheme="minorHAnsi"/>
                <w:sz w:val="20"/>
                <w:szCs w:val="20"/>
              </w:rPr>
              <w:t>0</w:t>
            </w:r>
            <w:r>
              <w:rPr>
                <w:rFonts w:asciiTheme="minorHAnsi" w:hAnsiTheme="minorHAnsi" w:cstheme="minorHAnsi"/>
                <w:sz w:val="20"/>
                <w:szCs w:val="20"/>
              </w:rPr>
              <w:t>1</w:t>
            </w:r>
            <w:r w:rsidR="00126BFB" w:rsidRPr="00EA5AD2">
              <w:rPr>
                <w:rFonts w:asciiTheme="minorHAnsi" w:hAnsiTheme="minorHAnsi" w:cstheme="minorHAnsi"/>
                <w:sz w:val="20"/>
                <w:szCs w:val="20"/>
              </w:rPr>
              <w:t>.</w:t>
            </w:r>
            <w:r w:rsidR="00FF122F" w:rsidRPr="00EA5AD2">
              <w:rPr>
                <w:rFonts w:asciiTheme="minorHAnsi" w:hAnsiTheme="minorHAnsi" w:cstheme="minorHAnsi"/>
                <w:sz w:val="20"/>
                <w:szCs w:val="20"/>
              </w:rPr>
              <w:t>202</w:t>
            </w:r>
            <w:r w:rsidR="00CE4BB3">
              <w:rPr>
                <w:rFonts w:asciiTheme="minorHAnsi" w:hAnsiTheme="minorHAnsi" w:cstheme="minorHAnsi"/>
                <w:sz w:val="20"/>
                <w:szCs w:val="20"/>
              </w:rPr>
              <w:t>6</w:t>
            </w:r>
            <w:r w:rsidR="00FF122F" w:rsidRPr="00EA5AD2">
              <w:rPr>
                <w:rFonts w:asciiTheme="minorHAnsi" w:hAnsiTheme="minorHAnsi" w:cstheme="minorHAnsi"/>
                <w:sz w:val="20"/>
                <w:szCs w:val="20"/>
              </w:rPr>
              <w:t xml:space="preserve">. – </w:t>
            </w:r>
            <w:r w:rsidR="00EA5AD2" w:rsidRPr="00EA5AD2">
              <w:rPr>
                <w:rFonts w:asciiTheme="minorHAnsi" w:hAnsiTheme="minorHAnsi" w:cstheme="minorHAnsi"/>
                <w:sz w:val="20"/>
                <w:szCs w:val="20"/>
              </w:rPr>
              <w:t>2</w:t>
            </w:r>
            <w:r w:rsidR="00806979">
              <w:rPr>
                <w:rFonts w:asciiTheme="minorHAnsi" w:hAnsiTheme="minorHAnsi" w:cstheme="minorHAnsi"/>
                <w:sz w:val="20"/>
                <w:szCs w:val="20"/>
              </w:rPr>
              <w:t>7</w:t>
            </w:r>
            <w:r w:rsidR="002C5BCD" w:rsidRPr="00EA5AD2">
              <w:rPr>
                <w:rFonts w:asciiTheme="minorHAnsi" w:hAnsiTheme="minorHAnsi" w:cstheme="minorHAnsi"/>
                <w:sz w:val="20"/>
                <w:szCs w:val="20"/>
              </w:rPr>
              <w:t>.</w:t>
            </w:r>
            <w:r w:rsidR="009F4A64" w:rsidRPr="00EA5AD2">
              <w:rPr>
                <w:rFonts w:asciiTheme="minorHAnsi" w:hAnsiTheme="minorHAnsi" w:cstheme="minorHAnsi"/>
                <w:sz w:val="20"/>
                <w:szCs w:val="20"/>
              </w:rPr>
              <w:t>0</w:t>
            </w:r>
            <w:r>
              <w:rPr>
                <w:rFonts w:asciiTheme="minorHAnsi" w:hAnsiTheme="minorHAnsi" w:cstheme="minorHAnsi"/>
                <w:sz w:val="20"/>
                <w:szCs w:val="20"/>
              </w:rPr>
              <w:t>2</w:t>
            </w:r>
            <w:r w:rsidR="00126BFB" w:rsidRPr="00EA5AD2">
              <w:rPr>
                <w:rFonts w:asciiTheme="minorHAnsi" w:hAnsiTheme="minorHAnsi" w:cstheme="minorHAnsi"/>
                <w:sz w:val="20"/>
                <w:szCs w:val="20"/>
              </w:rPr>
              <w:t>.</w:t>
            </w:r>
            <w:r w:rsidR="00FF122F" w:rsidRPr="00EA5AD2">
              <w:rPr>
                <w:rFonts w:asciiTheme="minorHAnsi" w:hAnsiTheme="minorHAnsi" w:cstheme="minorHAnsi"/>
                <w:sz w:val="20"/>
                <w:szCs w:val="20"/>
              </w:rPr>
              <w:t>202</w:t>
            </w:r>
            <w:r w:rsidR="00CE4BB3">
              <w:rPr>
                <w:rFonts w:asciiTheme="minorHAnsi" w:hAnsiTheme="minorHAnsi" w:cstheme="minorHAnsi"/>
                <w:sz w:val="20"/>
                <w:szCs w:val="20"/>
              </w:rPr>
              <w:t>6</w:t>
            </w:r>
            <w:r w:rsidR="00FF122F" w:rsidRPr="00EA5AD2">
              <w:rPr>
                <w:rFonts w:asciiTheme="minorHAnsi" w:hAnsiTheme="minorHAnsi" w:cstheme="minorHAnsi"/>
                <w:sz w:val="20"/>
                <w:szCs w:val="20"/>
              </w:rPr>
              <w:t>.</w:t>
            </w:r>
          </w:p>
        </w:tc>
      </w:tr>
      <w:tr w:rsidR="00F95A35" w:rsidRPr="00EA5AD2" w14:paraId="7193E265" w14:textId="77777777" w:rsidTr="00784C9E">
        <w:trPr>
          <w:trHeight w:val="845"/>
          <w:jc w:val="center"/>
        </w:trPr>
        <w:tc>
          <w:tcPr>
            <w:tcW w:w="4503" w:type="dxa"/>
            <w:tcBorders>
              <w:top w:val="single" w:sz="12" w:space="0" w:color="auto"/>
              <w:bottom w:val="single" w:sz="12" w:space="0" w:color="auto"/>
            </w:tcBorders>
            <w:vAlign w:val="center"/>
          </w:tcPr>
          <w:p w14:paraId="4ECF1F97" w14:textId="52A66742" w:rsidR="00F95A35" w:rsidRPr="00EA5AD2" w:rsidRDefault="00FF122F" w:rsidP="00FF122F">
            <w:pPr>
              <w:rPr>
                <w:rFonts w:asciiTheme="minorHAnsi" w:hAnsiTheme="minorHAnsi" w:cstheme="minorHAnsi"/>
                <w:sz w:val="20"/>
              </w:rPr>
            </w:pPr>
            <w:r w:rsidRPr="00EA5AD2">
              <w:rPr>
                <w:rFonts w:asciiTheme="minorHAnsi" w:hAnsiTheme="minorHAnsi" w:cstheme="minorHAnsi"/>
                <w:sz w:val="20"/>
              </w:rPr>
              <w:t xml:space="preserve">Naziv gradskog upravnog tijela nadležnog za izradu nacrta: </w:t>
            </w:r>
          </w:p>
        </w:tc>
        <w:tc>
          <w:tcPr>
            <w:tcW w:w="5528" w:type="dxa"/>
            <w:tcBorders>
              <w:top w:val="single" w:sz="12" w:space="0" w:color="auto"/>
              <w:bottom w:val="single" w:sz="12" w:space="0" w:color="auto"/>
            </w:tcBorders>
            <w:vAlign w:val="center"/>
          </w:tcPr>
          <w:p w14:paraId="7732C3F1" w14:textId="48C7E06F" w:rsidR="00F95A35" w:rsidRPr="00EA5AD2" w:rsidRDefault="00784C9E" w:rsidP="003A2581">
            <w:pPr>
              <w:rPr>
                <w:rFonts w:asciiTheme="minorHAnsi" w:hAnsiTheme="minorHAnsi" w:cstheme="minorHAnsi"/>
                <w:sz w:val="20"/>
              </w:rPr>
            </w:pPr>
            <w:r w:rsidRPr="00784C9E">
              <w:rPr>
                <w:rFonts w:asciiTheme="minorHAnsi" w:hAnsiTheme="minorHAnsi" w:cstheme="minorHAnsi"/>
                <w:color w:val="000000"/>
                <w:sz w:val="20"/>
              </w:rPr>
              <w:t xml:space="preserve">Upravni odjel za graditeljstvo, zaštitu okoliša, stambene i komunalne poslove </w:t>
            </w:r>
          </w:p>
        </w:tc>
      </w:tr>
      <w:tr w:rsidR="003B7C7D" w:rsidRPr="00EA5AD2" w14:paraId="577E515E" w14:textId="77777777" w:rsidTr="00755D39">
        <w:trPr>
          <w:trHeight w:val="529"/>
          <w:jc w:val="center"/>
        </w:trPr>
        <w:tc>
          <w:tcPr>
            <w:tcW w:w="4503" w:type="dxa"/>
            <w:tcBorders>
              <w:top w:val="single" w:sz="12" w:space="0" w:color="auto"/>
              <w:bottom w:val="single" w:sz="12" w:space="0" w:color="auto"/>
            </w:tcBorders>
            <w:vAlign w:val="center"/>
          </w:tcPr>
          <w:p w14:paraId="1AF4552F" w14:textId="54D4321B" w:rsidR="003B7C7D" w:rsidRPr="00EA5AD2" w:rsidRDefault="00FF122F" w:rsidP="00FF122F">
            <w:pPr>
              <w:rPr>
                <w:rFonts w:asciiTheme="minorHAnsi" w:hAnsiTheme="minorHAnsi" w:cstheme="minorHAnsi"/>
                <w:sz w:val="20"/>
              </w:rPr>
            </w:pPr>
            <w:r w:rsidRPr="00EA5AD2">
              <w:rPr>
                <w:rFonts w:asciiTheme="minorHAnsi" w:hAnsiTheme="minorHAnsi" w:cstheme="minorHAnsi"/>
                <w:sz w:val="20"/>
              </w:rPr>
              <w:t>Metoda savjetovanja:</w:t>
            </w:r>
          </w:p>
        </w:tc>
        <w:tc>
          <w:tcPr>
            <w:tcW w:w="5528" w:type="dxa"/>
            <w:tcBorders>
              <w:top w:val="single" w:sz="12" w:space="0" w:color="auto"/>
              <w:bottom w:val="single" w:sz="12" w:space="0" w:color="auto"/>
            </w:tcBorders>
            <w:vAlign w:val="center"/>
          </w:tcPr>
          <w:p w14:paraId="2A74A22D" w14:textId="5E97D12D" w:rsidR="003B7C7D" w:rsidRPr="00EA5AD2" w:rsidRDefault="00FF122F" w:rsidP="003A2581">
            <w:pPr>
              <w:pStyle w:val="Default"/>
              <w:rPr>
                <w:rFonts w:asciiTheme="minorHAnsi" w:hAnsiTheme="minorHAnsi" w:cstheme="minorHAnsi"/>
                <w:sz w:val="20"/>
                <w:szCs w:val="20"/>
              </w:rPr>
            </w:pPr>
            <w:r w:rsidRPr="00EA5AD2">
              <w:rPr>
                <w:rFonts w:asciiTheme="minorHAnsi" w:hAnsiTheme="minorHAnsi" w:cstheme="minorHAnsi"/>
                <w:sz w:val="20"/>
                <w:szCs w:val="20"/>
              </w:rPr>
              <w:t>Internetsko savjetovanje</w:t>
            </w:r>
          </w:p>
        </w:tc>
      </w:tr>
      <w:tr w:rsidR="00D77BC6" w:rsidRPr="00EA5AD2" w14:paraId="727036FC" w14:textId="77777777" w:rsidTr="00755D39">
        <w:trPr>
          <w:trHeight w:val="845"/>
          <w:jc w:val="center"/>
        </w:trPr>
        <w:tc>
          <w:tcPr>
            <w:tcW w:w="4503" w:type="dxa"/>
            <w:tcBorders>
              <w:top w:val="single" w:sz="12" w:space="0" w:color="auto"/>
              <w:bottom w:val="single" w:sz="12" w:space="0" w:color="auto"/>
            </w:tcBorders>
            <w:vAlign w:val="center"/>
          </w:tcPr>
          <w:p w14:paraId="558DA486" w14:textId="71921746" w:rsidR="00D77BC6" w:rsidRPr="00EA5AD2" w:rsidRDefault="00D77BC6" w:rsidP="00FF122F">
            <w:pPr>
              <w:rPr>
                <w:rFonts w:asciiTheme="minorHAnsi" w:hAnsiTheme="minorHAnsi" w:cstheme="minorHAnsi"/>
                <w:sz w:val="20"/>
              </w:rPr>
            </w:pPr>
            <w:r w:rsidRPr="00EA5AD2">
              <w:rPr>
                <w:rFonts w:asciiTheme="minorHAnsi" w:hAnsiTheme="minorHAnsi" w:cstheme="minorHAnsi"/>
                <w:sz w:val="20"/>
              </w:rPr>
              <w:t>Obrazloženje:</w:t>
            </w:r>
          </w:p>
        </w:tc>
        <w:tc>
          <w:tcPr>
            <w:tcW w:w="5528" w:type="dxa"/>
            <w:tcBorders>
              <w:top w:val="single" w:sz="12" w:space="0" w:color="auto"/>
              <w:bottom w:val="single" w:sz="12" w:space="0" w:color="auto"/>
            </w:tcBorders>
            <w:vAlign w:val="center"/>
          </w:tcPr>
          <w:p w14:paraId="1665D5E5" w14:textId="77777777" w:rsidR="003E4AB4" w:rsidRPr="003E4AB4" w:rsidRDefault="003E4AB4" w:rsidP="003E4AB4">
            <w:pPr>
              <w:pStyle w:val="StandardWeb"/>
              <w:shd w:val="clear" w:color="auto" w:fill="FFFFFF"/>
              <w:spacing w:before="0" w:beforeAutospacing="0" w:after="0" w:afterAutospacing="0"/>
              <w:jc w:val="both"/>
              <w:rPr>
                <w:rStyle w:val="Naglaeno"/>
                <w:rFonts w:ascii="Calibri" w:eastAsiaTheme="majorEastAsia" w:hAnsi="Calibri" w:cs="Calibri"/>
                <w:b w:val="0"/>
                <w:bCs w:val="0"/>
                <w:color w:val="212529"/>
                <w:sz w:val="20"/>
                <w:szCs w:val="20"/>
                <w:lang w:val="hr-HR"/>
              </w:rPr>
            </w:pPr>
            <w:r w:rsidRPr="003E4AB4">
              <w:rPr>
                <w:rStyle w:val="Naglaeno"/>
                <w:rFonts w:ascii="Calibri" w:eastAsiaTheme="majorEastAsia" w:hAnsi="Calibri" w:cs="Calibri"/>
                <w:b w:val="0"/>
                <w:bCs w:val="0"/>
                <w:color w:val="212529"/>
                <w:sz w:val="20"/>
                <w:szCs w:val="20"/>
                <w:lang w:val="hr-HR"/>
              </w:rPr>
              <w:t>Grad Zaprešić je vlasnik odlagališta neopasnog otpada Novi dvori</w:t>
            </w:r>
          </w:p>
          <w:p w14:paraId="76F5FD27" w14:textId="0D53636B" w:rsidR="00806979" w:rsidRPr="004F6CF9" w:rsidRDefault="003E4AB4" w:rsidP="003E4AB4">
            <w:pPr>
              <w:pStyle w:val="StandardWeb"/>
              <w:shd w:val="clear" w:color="auto" w:fill="FFFFFF"/>
              <w:spacing w:before="0" w:beforeAutospacing="0" w:after="0" w:afterAutospacing="0"/>
              <w:jc w:val="both"/>
              <w:rPr>
                <w:rFonts w:ascii="Calibri" w:hAnsi="Calibri" w:cs="Calibri"/>
                <w:color w:val="212529"/>
                <w:sz w:val="20"/>
                <w:szCs w:val="20"/>
                <w:lang w:val="hr-HR"/>
              </w:rPr>
            </w:pPr>
            <w:r w:rsidRPr="003E4AB4">
              <w:rPr>
                <w:rStyle w:val="Naglaeno"/>
                <w:rFonts w:ascii="Calibri" w:eastAsiaTheme="majorEastAsia" w:hAnsi="Calibri" w:cs="Calibri"/>
                <w:b w:val="0"/>
                <w:bCs w:val="0"/>
                <w:color w:val="212529"/>
                <w:sz w:val="20"/>
                <w:szCs w:val="20"/>
                <w:lang w:val="hr-HR"/>
              </w:rPr>
              <w:t>za odlaganje komunalnog otpada</w:t>
            </w:r>
            <w:r>
              <w:rPr>
                <w:rStyle w:val="Naglaeno"/>
                <w:rFonts w:ascii="Calibri" w:eastAsiaTheme="majorEastAsia" w:hAnsi="Calibri" w:cs="Calibri"/>
                <w:b w:val="0"/>
                <w:bCs w:val="0"/>
                <w:color w:val="212529"/>
                <w:sz w:val="20"/>
                <w:szCs w:val="20"/>
                <w:lang w:val="hr-HR"/>
              </w:rPr>
              <w:t>.</w:t>
            </w:r>
            <w:r w:rsidRPr="003E4AB4">
              <w:rPr>
                <w:rStyle w:val="Naglaeno"/>
                <w:rFonts w:eastAsiaTheme="majorEastAsia"/>
                <w:color w:val="212529"/>
                <w:szCs w:val="20"/>
                <w:lang w:val="hr-HR"/>
              </w:rPr>
              <w:t xml:space="preserve"> </w:t>
            </w:r>
            <w:r>
              <w:rPr>
                <w:rStyle w:val="Naglaeno"/>
                <w:rFonts w:asciiTheme="minorHAnsi" w:eastAsiaTheme="majorEastAsia" w:hAnsiTheme="minorHAnsi" w:cstheme="minorHAnsi"/>
                <w:b w:val="0"/>
                <w:bCs w:val="0"/>
                <w:color w:val="212529"/>
                <w:sz w:val="20"/>
                <w:szCs w:val="20"/>
                <w:lang w:val="hr-HR"/>
              </w:rPr>
              <w:t xml:space="preserve">Javnu uslugu </w:t>
            </w:r>
            <w:r w:rsidRPr="003E4AB4">
              <w:rPr>
                <w:rStyle w:val="Naglaeno"/>
                <w:rFonts w:asciiTheme="minorHAnsi" w:eastAsiaTheme="majorEastAsia" w:hAnsiTheme="minorHAnsi" w:cstheme="minorHAnsi"/>
                <w:b w:val="0"/>
                <w:bCs w:val="0"/>
                <w:color w:val="212529"/>
                <w:sz w:val="20"/>
                <w:szCs w:val="20"/>
                <w:lang w:val="hr-HR"/>
              </w:rPr>
              <w:t>za potrebe Grada i okolnih općina</w:t>
            </w:r>
            <w:r w:rsidRPr="003E4AB4">
              <w:rPr>
                <w:rStyle w:val="Naglaeno"/>
                <w:rFonts w:asciiTheme="minorHAnsi" w:eastAsiaTheme="majorEastAsia" w:hAnsiTheme="minorHAnsi" w:cstheme="minorHAnsi"/>
                <w:b w:val="0"/>
                <w:bCs w:val="0"/>
                <w:color w:val="212529"/>
                <w:sz w:val="20"/>
                <w:szCs w:val="20"/>
                <w:lang w:val="hr-HR"/>
              </w:rPr>
              <w:t xml:space="preserve"> </w:t>
            </w:r>
            <w:r>
              <w:rPr>
                <w:rStyle w:val="Naglaeno"/>
                <w:rFonts w:asciiTheme="minorHAnsi" w:eastAsiaTheme="majorEastAsia" w:hAnsiTheme="minorHAnsi" w:cstheme="minorHAnsi"/>
                <w:b w:val="0"/>
                <w:bCs w:val="0"/>
                <w:color w:val="212529"/>
                <w:sz w:val="20"/>
                <w:szCs w:val="20"/>
                <w:lang w:val="hr-HR"/>
              </w:rPr>
              <w:t xml:space="preserve">vrši </w:t>
            </w:r>
            <w:r w:rsidRPr="003E4AB4">
              <w:rPr>
                <w:rStyle w:val="Naglaeno"/>
                <w:rFonts w:asciiTheme="minorHAnsi" w:eastAsiaTheme="majorEastAsia" w:hAnsiTheme="minorHAnsi" w:cstheme="minorHAnsi"/>
                <w:b w:val="0"/>
                <w:bCs w:val="0"/>
                <w:color w:val="212529"/>
                <w:sz w:val="20"/>
                <w:szCs w:val="20"/>
                <w:lang w:val="hr-HR"/>
              </w:rPr>
              <w:t xml:space="preserve">zajedničko trgovačko društvo ZAPREŠIĆ d.o.o. </w:t>
            </w:r>
            <w:r w:rsidRPr="003E4AB4">
              <w:rPr>
                <w:rStyle w:val="Naglaeno"/>
                <w:rFonts w:ascii="Calibri" w:eastAsiaTheme="majorEastAsia" w:hAnsi="Calibri" w:cs="Calibri"/>
                <w:b w:val="0"/>
                <w:bCs w:val="0"/>
                <w:color w:val="212529"/>
                <w:sz w:val="20"/>
                <w:szCs w:val="20"/>
                <w:lang w:val="hr-HR"/>
              </w:rPr>
              <w:t xml:space="preserve"> </w:t>
            </w:r>
            <w:r w:rsidR="00806979" w:rsidRPr="004F6CF9">
              <w:rPr>
                <w:rStyle w:val="Naglaeno"/>
                <w:rFonts w:ascii="Calibri" w:eastAsiaTheme="majorEastAsia" w:hAnsi="Calibri" w:cs="Calibri"/>
                <w:b w:val="0"/>
                <w:bCs w:val="0"/>
                <w:color w:val="212529"/>
                <w:sz w:val="20"/>
                <w:szCs w:val="20"/>
                <w:lang w:val="hr-HR"/>
              </w:rPr>
              <w:t>Temeljem članka 103</w:t>
            </w:r>
            <w:r w:rsidR="00806979" w:rsidRPr="004F6CF9">
              <w:rPr>
                <w:rStyle w:val="Naglaeno"/>
                <w:rFonts w:ascii="Calibri" w:eastAsiaTheme="majorEastAsia" w:hAnsi="Calibri" w:cs="Calibri"/>
                <w:color w:val="212529"/>
                <w:sz w:val="20"/>
                <w:szCs w:val="20"/>
                <w:lang w:val="hr-HR"/>
              </w:rPr>
              <w:t>.</w:t>
            </w:r>
            <w:r w:rsidR="00806979" w:rsidRPr="004F6CF9">
              <w:rPr>
                <w:rFonts w:ascii="Calibri" w:hAnsi="Calibri" w:cs="Calibri"/>
                <w:color w:val="212529"/>
                <w:sz w:val="20"/>
                <w:szCs w:val="20"/>
                <w:lang w:val="hr-HR"/>
              </w:rPr>
              <w:t> stavka 1. Zakona o gospodarenju otpadom (Narodne novine 84/21 i 142/23) propisano je da je naknada za korištenje odlagališta otpada na području druge jedinice lokalne samouprave novčani iznos na koji ima pravo jedinica lokalne samouprave na čijem se području nalazi odlagalište otpada, a koje koriste druge jedinice lokalne samouprave.</w:t>
            </w:r>
          </w:p>
          <w:p w14:paraId="55FDABB7" w14:textId="77777777" w:rsidR="00806979" w:rsidRPr="004F6CF9" w:rsidRDefault="00806979" w:rsidP="003E4AB4">
            <w:pPr>
              <w:pStyle w:val="StandardWeb"/>
              <w:shd w:val="clear" w:color="auto" w:fill="FFFFFF"/>
              <w:spacing w:before="0" w:beforeAutospacing="0" w:after="0" w:afterAutospacing="0"/>
              <w:jc w:val="both"/>
              <w:rPr>
                <w:rFonts w:ascii="Calibri" w:hAnsi="Calibri" w:cs="Calibri"/>
                <w:color w:val="212529"/>
                <w:sz w:val="20"/>
                <w:szCs w:val="20"/>
                <w:lang w:val="hr-HR"/>
              </w:rPr>
            </w:pPr>
            <w:r w:rsidRPr="004F6CF9">
              <w:rPr>
                <w:rFonts w:ascii="Calibri" w:hAnsi="Calibri" w:cs="Calibri"/>
                <w:color w:val="212529"/>
                <w:sz w:val="20"/>
                <w:szCs w:val="20"/>
                <w:lang w:val="hr-HR"/>
              </w:rPr>
              <w:t>Stavkom 2. istog članka propisano je da je obveznik plaćanja ove naknade jedinica lokalne samouprave koja koristi odlagalište otpada na području druge jedinice lokalne samouprave. Iznos naknade za korištenje odlagališta za tonu odloženog otpada određen je stavkom 4. istog članka i iznosi do 20% iznosa cijene odlaganja jedne tone miješanog komunalnog otpada određene cjenikom osobe koja upravlja odlagalištem, koja ne uključuje porez na dodanu vrijednost.</w:t>
            </w:r>
          </w:p>
          <w:p w14:paraId="35ED7A0E" w14:textId="4D4F517D" w:rsidR="00EA5AD2" w:rsidRPr="004F6CF9" w:rsidRDefault="00EA5AD2" w:rsidP="003E4AB4">
            <w:pPr>
              <w:suppressAutoHyphens/>
              <w:jc w:val="both"/>
              <w:rPr>
                <w:rFonts w:asciiTheme="minorHAnsi" w:hAnsiTheme="minorHAnsi" w:cstheme="minorHAnsi"/>
                <w:sz w:val="20"/>
              </w:rPr>
            </w:pPr>
          </w:p>
        </w:tc>
      </w:tr>
      <w:tr w:rsidR="009062F6" w:rsidRPr="00EA5AD2" w14:paraId="4F765174" w14:textId="77777777" w:rsidTr="00755D39">
        <w:trPr>
          <w:trHeight w:val="845"/>
          <w:jc w:val="center"/>
        </w:trPr>
        <w:tc>
          <w:tcPr>
            <w:tcW w:w="4503" w:type="dxa"/>
            <w:tcBorders>
              <w:top w:val="single" w:sz="12" w:space="0" w:color="auto"/>
              <w:bottom w:val="single" w:sz="12" w:space="0" w:color="auto"/>
            </w:tcBorders>
            <w:vAlign w:val="center"/>
          </w:tcPr>
          <w:p w14:paraId="17EE565C" w14:textId="50C3E9E1"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t>Ime i prezime osobe odnosno naziv predstavnika zainteresirane javnosti koja daje svoje primjedbe i prijedloge na predloženi nacrt:</w:t>
            </w:r>
          </w:p>
        </w:tc>
        <w:tc>
          <w:tcPr>
            <w:tcW w:w="5528" w:type="dxa"/>
            <w:tcBorders>
              <w:top w:val="single" w:sz="12" w:space="0" w:color="auto"/>
              <w:bottom w:val="single" w:sz="12" w:space="0" w:color="auto"/>
            </w:tcBorders>
            <w:vAlign w:val="center"/>
          </w:tcPr>
          <w:p w14:paraId="2D73D31A" w14:textId="77777777" w:rsidR="009062F6" w:rsidRPr="00EA5AD2" w:rsidRDefault="009062F6" w:rsidP="003A2581">
            <w:pPr>
              <w:pStyle w:val="Default"/>
              <w:rPr>
                <w:rFonts w:asciiTheme="minorHAnsi" w:hAnsiTheme="minorHAnsi" w:cstheme="minorHAnsi"/>
                <w:sz w:val="20"/>
                <w:szCs w:val="20"/>
              </w:rPr>
            </w:pPr>
          </w:p>
        </w:tc>
      </w:tr>
      <w:tr w:rsidR="009062F6" w:rsidRPr="00EA5AD2" w14:paraId="50A79A98" w14:textId="77777777" w:rsidTr="00755D39">
        <w:trPr>
          <w:trHeight w:val="845"/>
          <w:jc w:val="center"/>
        </w:trPr>
        <w:tc>
          <w:tcPr>
            <w:tcW w:w="4503" w:type="dxa"/>
            <w:tcBorders>
              <w:top w:val="single" w:sz="12" w:space="0" w:color="auto"/>
              <w:bottom w:val="single" w:sz="12" w:space="0" w:color="auto"/>
            </w:tcBorders>
            <w:vAlign w:val="center"/>
          </w:tcPr>
          <w:p w14:paraId="08B22AA9" w14:textId="7A455467"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t>Načelne primjedbe i prijedlozi na predloženi nacrt akta s obrazloženjem:</w:t>
            </w:r>
          </w:p>
        </w:tc>
        <w:tc>
          <w:tcPr>
            <w:tcW w:w="5528" w:type="dxa"/>
            <w:tcBorders>
              <w:top w:val="single" w:sz="12" w:space="0" w:color="auto"/>
              <w:bottom w:val="single" w:sz="12" w:space="0" w:color="auto"/>
            </w:tcBorders>
            <w:vAlign w:val="center"/>
          </w:tcPr>
          <w:p w14:paraId="361B4EB7" w14:textId="77777777" w:rsidR="009062F6" w:rsidRPr="00EA5AD2" w:rsidRDefault="009062F6" w:rsidP="003A2581">
            <w:pPr>
              <w:pStyle w:val="Default"/>
              <w:rPr>
                <w:rFonts w:asciiTheme="minorHAnsi" w:hAnsiTheme="minorHAnsi" w:cstheme="minorHAnsi"/>
                <w:sz w:val="20"/>
                <w:szCs w:val="20"/>
              </w:rPr>
            </w:pPr>
          </w:p>
        </w:tc>
      </w:tr>
      <w:tr w:rsidR="009062F6" w:rsidRPr="00EA5AD2" w14:paraId="2FDFE212" w14:textId="77777777" w:rsidTr="00755D39">
        <w:trPr>
          <w:trHeight w:val="845"/>
          <w:jc w:val="center"/>
        </w:trPr>
        <w:tc>
          <w:tcPr>
            <w:tcW w:w="4503" w:type="dxa"/>
            <w:tcBorders>
              <w:top w:val="single" w:sz="12" w:space="0" w:color="auto"/>
              <w:bottom w:val="single" w:sz="12" w:space="0" w:color="auto"/>
            </w:tcBorders>
            <w:vAlign w:val="center"/>
          </w:tcPr>
          <w:p w14:paraId="3F4E248A" w14:textId="3CDCB62B"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t>Primjedbe i prijedlozi na pojedine članke nacrta prijedloga akta s obrazloženjem:</w:t>
            </w:r>
          </w:p>
        </w:tc>
        <w:tc>
          <w:tcPr>
            <w:tcW w:w="5528" w:type="dxa"/>
            <w:tcBorders>
              <w:top w:val="single" w:sz="12" w:space="0" w:color="auto"/>
              <w:bottom w:val="single" w:sz="12" w:space="0" w:color="auto"/>
            </w:tcBorders>
            <w:vAlign w:val="center"/>
          </w:tcPr>
          <w:p w14:paraId="33DC9228" w14:textId="77777777" w:rsidR="009062F6" w:rsidRPr="00EA5AD2" w:rsidRDefault="009062F6" w:rsidP="003A2581">
            <w:pPr>
              <w:pStyle w:val="Default"/>
              <w:rPr>
                <w:rFonts w:asciiTheme="minorHAnsi" w:hAnsiTheme="minorHAnsi" w:cstheme="minorHAnsi"/>
                <w:sz w:val="20"/>
                <w:szCs w:val="20"/>
              </w:rPr>
            </w:pPr>
          </w:p>
        </w:tc>
      </w:tr>
      <w:tr w:rsidR="009062F6" w:rsidRPr="00EA5AD2" w14:paraId="251BD3E3" w14:textId="77777777" w:rsidTr="00755D39">
        <w:trPr>
          <w:trHeight w:val="845"/>
          <w:jc w:val="center"/>
        </w:trPr>
        <w:tc>
          <w:tcPr>
            <w:tcW w:w="4503" w:type="dxa"/>
            <w:tcBorders>
              <w:top w:val="single" w:sz="12" w:space="0" w:color="auto"/>
              <w:bottom w:val="single" w:sz="12" w:space="0" w:color="auto"/>
            </w:tcBorders>
            <w:vAlign w:val="center"/>
          </w:tcPr>
          <w:p w14:paraId="4058969B" w14:textId="0EC87FD5"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t>Ime i prezime osobe (ili osoba) koja je sastavljala primjedbe i prijedloge ili osobe koja predstavlja zainteresiranu javnost, e-mail ili drugi podaci za kontakt:</w:t>
            </w:r>
          </w:p>
        </w:tc>
        <w:tc>
          <w:tcPr>
            <w:tcW w:w="5528" w:type="dxa"/>
            <w:tcBorders>
              <w:top w:val="single" w:sz="12" w:space="0" w:color="auto"/>
              <w:bottom w:val="single" w:sz="12" w:space="0" w:color="auto"/>
            </w:tcBorders>
            <w:vAlign w:val="center"/>
          </w:tcPr>
          <w:p w14:paraId="21967BE5" w14:textId="77777777" w:rsidR="009062F6" w:rsidRPr="00EA5AD2" w:rsidRDefault="009062F6" w:rsidP="003A2581">
            <w:pPr>
              <w:pStyle w:val="Default"/>
              <w:rPr>
                <w:rFonts w:asciiTheme="minorHAnsi" w:hAnsiTheme="minorHAnsi" w:cstheme="minorHAnsi"/>
                <w:sz w:val="20"/>
                <w:szCs w:val="20"/>
              </w:rPr>
            </w:pPr>
          </w:p>
        </w:tc>
      </w:tr>
      <w:tr w:rsidR="009062F6" w:rsidRPr="00EA5AD2" w14:paraId="648E844B" w14:textId="77777777" w:rsidTr="00755D39">
        <w:trPr>
          <w:trHeight w:val="562"/>
          <w:jc w:val="center"/>
        </w:trPr>
        <w:tc>
          <w:tcPr>
            <w:tcW w:w="4503" w:type="dxa"/>
            <w:tcBorders>
              <w:top w:val="single" w:sz="12" w:space="0" w:color="auto"/>
              <w:bottom w:val="single" w:sz="18" w:space="0" w:color="auto"/>
            </w:tcBorders>
            <w:vAlign w:val="center"/>
          </w:tcPr>
          <w:p w14:paraId="2F4BC92D" w14:textId="368B0841"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t>Datum dostavljanja:</w:t>
            </w:r>
          </w:p>
        </w:tc>
        <w:tc>
          <w:tcPr>
            <w:tcW w:w="5528" w:type="dxa"/>
            <w:tcBorders>
              <w:top w:val="single" w:sz="12" w:space="0" w:color="auto"/>
              <w:bottom w:val="single" w:sz="18" w:space="0" w:color="auto"/>
            </w:tcBorders>
            <w:vAlign w:val="center"/>
          </w:tcPr>
          <w:p w14:paraId="09718F2E" w14:textId="77777777" w:rsidR="009062F6" w:rsidRPr="00EA5AD2" w:rsidRDefault="009062F6" w:rsidP="003A2581">
            <w:pPr>
              <w:pStyle w:val="Default"/>
              <w:rPr>
                <w:rFonts w:asciiTheme="minorHAnsi" w:hAnsiTheme="minorHAnsi" w:cstheme="minorHAnsi"/>
                <w:sz w:val="20"/>
                <w:szCs w:val="20"/>
              </w:rPr>
            </w:pPr>
          </w:p>
        </w:tc>
      </w:tr>
    </w:tbl>
    <w:p w14:paraId="5161219E" w14:textId="77777777" w:rsidR="00F95A35" w:rsidRPr="00EA5AD2" w:rsidRDefault="00F95A35" w:rsidP="00F95A35">
      <w:pPr>
        <w:jc w:val="center"/>
        <w:rPr>
          <w:rFonts w:asciiTheme="minorHAnsi" w:hAnsiTheme="minorHAnsi" w:cstheme="minorHAnsi"/>
          <w:sz w:val="20"/>
        </w:rPr>
      </w:pPr>
    </w:p>
    <w:p w14:paraId="00A628BD" w14:textId="77777777" w:rsidR="00250AE3" w:rsidRPr="00EA5AD2" w:rsidRDefault="00250AE3" w:rsidP="00F95A35">
      <w:pPr>
        <w:jc w:val="center"/>
        <w:rPr>
          <w:rFonts w:asciiTheme="minorHAnsi" w:hAnsiTheme="minorHAnsi" w:cstheme="minorHAnsi"/>
          <w:sz w:val="20"/>
        </w:rPr>
      </w:pPr>
    </w:p>
    <w:p w14:paraId="31D09E66" w14:textId="5A3B9A1D" w:rsidR="009062F6" w:rsidRPr="00EA5AD2" w:rsidRDefault="009062F6" w:rsidP="009062F6">
      <w:pPr>
        <w:jc w:val="both"/>
        <w:rPr>
          <w:rFonts w:asciiTheme="minorHAnsi" w:hAnsiTheme="minorHAnsi" w:cstheme="minorHAnsi"/>
          <w:sz w:val="20"/>
        </w:rPr>
      </w:pPr>
      <w:r w:rsidRPr="00EA5AD2">
        <w:rPr>
          <w:rFonts w:asciiTheme="minorHAnsi" w:hAnsiTheme="minorHAnsi" w:cstheme="minorHAnsi"/>
          <w:sz w:val="20"/>
        </w:rPr>
        <w:t>Napomena:</w:t>
      </w:r>
    </w:p>
    <w:p w14:paraId="20567F5F" w14:textId="15F670D4" w:rsidR="009062F6" w:rsidRPr="00EA5AD2" w:rsidRDefault="009062F6" w:rsidP="009062F6">
      <w:pPr>
        <w:jc w:val="both"/>
        <w:rPr>
          <w:rFonts w:asciiTheme="minorHAnsi" w:hAnsiTheme="minorHAnsi" w:cstheme="minorHAnsi"/>
          <w:sz w:val="20"/>
        </w:rPr>
      </w:pPr>
      <w:r w:rsidRPr="00EA5AD2">
        <w:rPr>
          <w:rFonts w:asciiTheme="minorHAnsi" w:hAnsiTheme="minorHAnsi" w:cstheme="minorHAnsi"/>
          <w:sz w:val="20"/>
        </w:rPr>
        <w:t xml:space="preserve">Popunjeni obrazac dostaviti na adresu elektroničke pošte: </w:t>
      </w:r>
      <w:hyperlink r:id="rId6" w:history="1">
        <w:r w:rsidR="003109D1" w:rsidRPr="00EA5AD2">
          <w:rPr>
            <w:rStyle w:val="Hiperveza"/>
            <w:rFonts w:asciiTheme="minorHAnsi" w:hAnsiTheme="minorHAnsi" w:cstheme="minorHAnsi"/>
            <w:color w:val="auto"/>
            <w:sz w:val="20"/>
          </w:rPr>
          <w:t>azlacki@zapresic.hr</w:t>
        </w:r>
      </w:hyperlink>
      <w:r w:rsidR="002A28DD" w:rsidRPr="00EA5AD2">
        <w:rPr>
          <w:rFonts w:asciiTheme="minorHAnsi" w:hAnsiTheme="minorHAnsi" w:cstheme="minorHAnsi"/>
          <w:sz w:val="20"/>
        </w:rPr>
        <w:t xml:space="preserve"> </w:t>
      </w:r>
      <w:r w:rsidRPr="00EA5AD2">
        <w:rPr>
          <w:rFonts w:asciiTheme="minorHAnsi" w:hAnsiTheme="minorHAnsi" w:cstheme="minorHAnsi"/>
          <w:sz w:val="20"/>
        </w:rPr>
        <w:t xml:space="preserve">zaključno do </w:t>
      </w:r>
      <w:r w:rsidR="00711DE6">
        <w:rPr>
          <w:rFonts w:asciiTheme="minorHAnsi" w:hAnsiTheme="minorHAnsi" w:cstheme="minorHAnsi"/>
          <w:sz w:val="20"/>
        </w:rPr>
        <w:t>2</w:t>
      </w:r>
      <w:r w:rsidR="004F6CF9">
        <w:rPr>
          <w:rFonts w:asciiTheme="minorHAnsi" w:hAnsiTheme="minorHAnsi" w:cstheme="minorHAnsi"/>
          <w:sz w:val="20"/>
        </w:rPr>
        <w:t>7</w:t>
      </w:r>
      <w:r w:rsidRPr="00EA5AD2">
        <w:rPr>
          <w:rFonts w:asciiTheme="minorHAnsi" w:hAnsiTheme="minorHAnsi" w:cstheme="minorHAnsi"/>
          <w:sz w:val="20"/>
        </w:rPr>
        <w:t>.</w:t>
      </w:r>
      <w:r w:rsidR="002D43D3" w:rsidRPr="00EA5AD2">
        <w:rPr>
          <w:rFonts w:asciiTheme="minorHAnsi" w:hAnsiTheme="minorHAnsi" w:cstheme="minorHAnsi"/>
          <w:sz w:val="20"/>
        </w:rPr>
        <w:t>0</w:t>
      </w:r>
      <w:r w:rsidR="0053480A">
        <w:rPr>
          <w:rFonts w:asciiTheme="minorHAnsi" w:hAnsiTheme="minorHAnsi" w:cstheme="minorHAnsi"/>
          <w:sz w:val="20"/>
        </w:rPr>
        <w:t>2</w:t>
      </w:r>
      <w:r w:rsidR="00126BFB" w:rsidRPr="00EA5AD2">
        <w:rPr>
          <w:rFonts w:asciiTheme="minorHAnsi" w:hAnsiTheme="minorHAnsi" w:cstheme="minorHAnsi"/>
          <w:sz w:val="20"/>
        </w:rPr>
        <w:t>.</w:t>
      </w:r>
      <w:r w:rsidRPr="00EA5AD2">
        <w:rPr>
          <w:rFonts w:asciiTheme="minorHAnsi" w:hAnsiTheme="minorHAnsi" w:cstheme="minorHAnsi"/>
          <w:sz w:val="20"/>
        </w:rPr>
        <w:t>202</w:t>
      </w:r>
      <w:r w:rsidR="0053480A">
        <w:rPr>
          <w:rFonts w:asciiTheme="minorHAnsi" w:hAnsiTheme="minorHAnsi" w:cstheme="minorHAnsi"/>
          <w:sz w:val="20"/>
        </w:rPr>
        <w:t>6</w:t>
      </w:r>
      <w:r w:rsidRPr="00EA5AD2">
        <w:rPr>
          <w:rFonts w:asciiTheme="minorHAnsi" w:hAnsiTheme="minorHAnsi" w:cstheme="minorHAnsi"/>
          <w:sz w:val="20"/>
        </w:rPr>
        <w:t>.</w:t>
      </w:r>
      <w:r w:rsidR="00126BFB" w:rsidRPr="00EA5AD2">
        <w:rPr>
          <w:rFonts w:asciiTheme="minorHAnsi" w:hAnsiTheme="minorHAnsi" w:cstheme="minorHAnsi"/>
          <w:sz w:val="20"/>
        </w:rPr>
        <w:t>g.</w:t>
      </w:r>
    </w:p>
    <w:p w14:paraId="66C24937" w14:textId="77777777" w:rsidR="004C4C44" w:rsidRPr="00EA5AD2" w:rsidRDefault="004C4C44" w:rsidP="004C4C44">
      <w:pPr>
        <w:jc w:val="both"/>
        <w:rPr>
          <w:rFonts w:asciiTheme="minorHAnsi" w:hAnsiTheme="minorHAnsi" w:cstheme="minorHAnsi"/>
          <w:sz w:val="20"/>
        </w:rPr>
      </w:pPr>
    </w:p>
    <w:p w14:paraId="167BFD30" w14:textId="051737BF"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 xml:space="preserve">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 Grad Zaprešić kao voditelj obrade obrađuje osobne podatke isključivo u svrhu ostvarenja prava sudionika savjetovanja/ispitanika na </w:t>
      </w:r>
      <w:r w:rsidRPr="00EA5AD2">
        <w:rPr>
          <w:rFonts w:asciiTheme="minorHAnsi" w:hAnsiTheme="minorHAnsi" w:cstheme="minorHAnsi"/>
          <w:sz w:val="20"/>
        </w:rPr>
        <w:lastRenderedPageBreak/>
        <w:t xml:space="preserve">sudjelovanje u postupku savjetovanja s javnošću, uz napomenu kako je takva obrada nužna zbog zakonitog provođenja predmetnog postupka. </w:t>
      </w:r>
    </w:p>
    <w:p w14:paraId="2DACC7EC" w14:textId="77777777"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Pravna osnova za obavljanje djelatnosti, a time i obradu osobnih podataka sudionika savjetovanja/ispitanika, proizlazi iz Zakona o pravu na pristup informacijama („Narodne novine“ broj 25/13 i 85/15).</w:t>
      </w:r>
    </w:p>
    <w:p w14:paraId="587E6606" w14:textId="77777777"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 xml:space="preserve">Sudionik savjetovanja/ispitanik, budući da je obrada podataka nužna za provođenje zadaće koja se obavlja zbog javnog interesa, odnosno pri izvršavanju službene ovlasti voditelja obrade, može u smislu članka 21. stavka 6. Opće uredbe o zaštiti podataka podnijeti prigovor.  </w:t>
      </w:r>
    </w:p>
    <w:p w14:paraId="041CE45A" w14:textId="77777777"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Sudionik savjetovanja/ispitanik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u pravilu ne primjenjuje pravo na prenosivost podataka.</w:t>
      </w:r>
    </w:p>
    <w:p w14:paraId="637100F3" w14:textId="77777777"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Osim u svrhu izvršavanja svojih javnopravnih i službenih ovlasti te zakonom propisanih obveza, osobni podaci koje voditelj obrade prikuplja ne čine se dostupnim trećim privatnim i pravnim subjektima te trećim zemljama.</w:t>
      </w:r>
    </w:p>
    <w:p w14:paraId="013E4339" w14:textId="77777777" w:rsidR="004C4C44" w:rsidRPr="00EA5AD2" w:rsidRDefault="004C4C44" w:rsidP="004C4C44">
      <w:pPr>
        <w:jc w:val="both"/>
        <w:rPr>
          <w:rFonts w:asciiTheme="minorHAnsi" w:hAnsiTheme="minorHAnsi" w:cstheme="minorHAnsi"/>
          <w:sz w:val="20"/>
        </w:rPr>
      </w:pPr>
    </w:p>
    <w:p w14:paraId="77979DBF" w14:textId="4AF59B9E" w:rsidR="009062F6"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Po završetku savjetovanja, sve pristigle primjedbe/prijedlozi biti će javno dostupni na internetskoj stranici Grada Zaprešića. Ukoliko ne želite da Vaši osobni podaci (ime i prezime) budu javno objavljeni, molimo da to jasno istaknete pri slanju obrasca.</w:t>
      </w:r>
      <w:r w:rsidR="00C66762" w:rsidRPr="00EA5AD2">
        <w:rPr>
          <w:rFonts w:asciiTheme="minorHAnsi" w:hAnsiTheme="minorHAnsi" w:cstheme="minorHAnsi"/>
          <w:sz w:val="20"/>
        </w:rPr>
        <w:t xml:space="preserve"> Anonimni, irelevantni te uvredljivi komentari neće se objaviti.</w:t>
      </w:r>
    </w:p>
    <w:sectPr w:rsidR="009062F6" w:rsidRPr="00EA5AD2" w:rsidSect="001E4D95">
      <w:pgSz w:w="11907" w:h="16840" w:code="9"/>
      <w:pgMar w:top="851" w:right="851" w:bottom="851" w:left="1418" w:header="567" w:footer="851" w:gutter="0"/>
      <w:paperSrc w:first="1" w:other="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332"/>
    <w:multiLevelType w:val="hybridMultilevel"/>
    <w:tmpl w:val="701A3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1E41BC"/>
    <w:multiLevelType w:val="hybridMultilevel"/>
    <w:tmpl w:val="F3046876"/>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 w15:restartNumberingAfterBreak="0">
    <w:nsid w:val="634B735D"/>
    <w:multiLevelType w:val="hybridMultilevel"/>
    <w:tmpl w:val="2AAC6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E50213F"/>
    <w:multiLevelType w:val="hybridMultilevel"/>
    <w:tmpl w:val="47D2D3BE"/>
    <w:lvl w:ilvl="0" w:tplc="ACDE685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37588704">
    <w:abstractNumId w:val="2"/>
  </w:num>
  <w:num w:numId="2" w16cid:durableId="570038741">
    <w:abstractNumId w:val="1"/>
  </w:num>
  <w:num w:numId="3" w16cid:durableId="1555039008">
    <w:abstractNumId w:val="3"/>
  </w:num>
  <w:num w:numId="4" w16cid:durableId="76283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35"/>
    <w:rsid w:val="00030EA9"/>
    <w:rsid w:val="00072BB5"/>
    <w:rsid w:val="00081E85"/>
    <w:rsid w:val="000A146C"/>
    <w:rsid w:val="000C3B3C"/>
    <w:rsid w:val="000F3D98"/>
    <w:rsid w:val="0011465D"/>
    <w:rsid w:val="0012321A"/>
    <w:rsid w:val="00126BFB"/>
    <w:rsid w:val="001B0DE2"/>
    <w:rsid w:val="001E198A"/>
    <w:rsid w:val="001E4D95"/>
    <w:rsid w:val="00211440"/>
    <w:rsid w:val="00250AE3"/>
    <w:rsid w:val="0029796E"/>
    <w:rsid w:val="002A28DD"/>
    <w:rsid w:val="002C5BCD"/>
    <w:rsid w:val="002D43D3"/>
    <w:rsid w:val="003109D1"/>
    <w:rsid w:val="0033007A"/>
    <w:rsid w:val="00345BBE"/>
    <w:rsid w:val="00352BC5"/>
    <w:rsid w:val="003567A3"/>
    <w:rsid w:val="003602DE"/>
    <w:rsid w:val="00386E76"/>
    <w:rsid w:val="003B6A68"/>
    <w:rsid w:val="003B7C7D"/>
    <w:rsid w:val="003C19E7"/>
    <w:rsid w:val="003C49D4"/>
    <w:rsid w:val="003C7EA7"/>
    <w:rsid w:val="003D0306"/>
    <w:rsid w:val="003D4195"/>
    <w:rsid w:val="003E4AB4"/>
    <w:rsid w:val="003F56F6"/>
    <w:rsid w:val="004163A1"/>
    <w:rsid w:val="00431D92"/>
    <w:rsid w:val="00432DBF"/>
    <w:rsid w:val="00453E93"/>
    <w:rsid w:val="00462132"/>
    <w:rsid w:val="004C4C44"/>
    <w:rsid w:val="004F6CF9"/>
    <w:rsid w:val="005139E9"/>
    <w:rsid w:val="005302C7"/>
    <w:rsid w:val="0053480A"/>
    <w:rsid w:val="00553258"/>
    <w:rsid w:val="005546D9"/>
    <w:rsid w:val="005C77AA"/>
    <w:rsid w:val="005D54EB"/>
    <w:rsid w:val="005E39DD"/>
    <w:rsid w:val="005E3C81"/>
    <w:rsid w:val="0066576C"/>
    <w:rsid w:val="006C1302"/>
    <w:rsid w:val="006E62D9"/>
    <w:rsid w:val="00711DE6"/>
    <w:rsid w:val="007303EF"/>
    <w:rsid w:val="00730408"/>
    <w:rsid w:val="00735AFF"/>
    <w:rsid w:val="00755D39"/>
    <w:rsid w:val="00784C9E"/>
    <w:rsid w:val="00792BFF"/>
    <w:rsid w:val="007F0455"/>
    <w:rsid w:val="00806979"/>
    <w:rsid w:val="0083577D"/>
    <w:rsid w:val="00840A8A"/>
    <w:rsid w:val="00845520"/>
    <w:rsid w:val="00851ECC"/>
    <w:rsid w:val="0085722B"/>
    <w:rsid w:val="008B7EB6"/>
    <w:rsid w:val="009062F6"/>
    <w:rsid w:val="00912BCB"/>
    <w:rsid w:val="00983714"/>
    <w:rsid w:val="009B3BDC"/>
    <w:rsid w:val="009C1029"/>
    <w:rsid w:val="009D23FE"/>
    <w:rsid w:val="009D379B"/>
    <w:rsid w:val="009F4A64"/>
    <w:rsid w:val="00A30CF7"/>
    <w:rsid w:val="00A548D4"/>
    <w:rsid w:val="00A94C17"/>
    <w:rsid w:val="00B10A3D"/>
    <w:rsid w:val="00B27AD4"/>
    <w:rsid w:val="00B4243E"/>
    <w:rsid w:val="00B52788"/>
    <w:rsid w:val="00B550FB"/>
    <w:rsid w:val="00BB6BAB"/>
    <w:rsid w:val="00C51FF2"/>
    <w:rsid w:val="00C66762"/>
    <w:rsid w:val="00C93464"/>
    <w:rsid w:val="00CC0846"/>
    <w:rsid w:val="00CD7401"/>
    <w:rsid w:val="00CE4BB3"/>
    <w:rsid w:val="00CE5652"/>
    <w:rsid w:val="00D31DA2"/>
    <w:rsid w:val="00D77BC6"/>
    <w:rsid w:val="00D97A17"/>
    <w:rsid w:val="00DA5B5B"/>
    <w:rsid w:val="00DB4D41"/>
    <w:rsid w:val="00DC0E2D"/>
    <w:rsid w:val="00DD7831"/>
    <w:rsid w:val="00E033ED"/>
    <w:rsid w:val="00E10865"/>
    <w:rsid w:val="00E25763"/>
    <w:rsid w:val="00E264F3"/>
    <w:rsid w:val="00E4074D"/>
    <w:rsid w:val="00E569EF"/>
    <w:rsid w:val="00E852F3"/>
    <w:rsid w:val="00E85EC7"/>
    <w:rsid w:val="00E92178"/>
    <w:rsid w:val="00E938F7"/>
    <w:rsid w:val="00EA5AD2"/>
    <w:rsid w:val="00EE6D43"/>
    <w:rsid w:val="00F01D0B"/>
    <w:rsid w:val="00F03DDF"/>
    <w:rsid w:val="00F17315"/>
    <w:rsid w:val="00F22BF3"/>
    <w:rsid w:val="00F5612B"/>
    <w:rsid w:val="00F93FDF"/>
    <w:rsid w:val="00F95A35"/>
    <w:rsid w:val="00FD4EE3"/>
    <w:rsid w:val="00FF122F"/>
    <w:rsid w:val="00FF5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AC55"/>
  <w15:docId w15:val="{E458DC12-9EC2-4059-88C9-C86069C3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35"/>
    <w:pPr>
      <w:ind w:firstLine="0"/>
      <w:jc w:val="left"/>
    </w:pPr>
    <w:rPr>
      <w:rFonts w:ascii="Times New Roman" w:eastAsia="Times New Roman" w:hAnsi="Times New Roman" w:cs="Times New Roman"/>
      <w:szCs w:val="20"/>
      <w:lang w:eastAsia="hr-HR"/>
    </w:rPr>
  </w:style>
  <w:style w:type="paragraph" w:styleId="Naslov2">
    <w:name w:val="heading 2"/>
    <w:basedOn w:val="Normal"/>
    <w:next w:val="Normal"/>
    <w:link w:val="Naslov2Char"/>
    <w:uiPriority w:val="9"/>
    <w:semiHidden/>
    <w:unhideWhenUsed/>
    <w:qFormat/>
    <w:rsid w:val="00EA5AD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US"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95A35"/>
    <w:pPr>
      <w:ind w:firstLine="0"/>
      <w:jc w:val="left"/>
    </w:pPr>
    <w:rPr>
      <w:rFonts w:ascii="Times New Roman" w:eastAsia="Times New Roman" w:hAnsi="Times New Roman" w:cs="Times New Roman"/>
      <w:sz w:val="24"/>
      <w:szCs w:val="24"/>
      <w:lang w:eastAsia="hr-HR"/>
    </w:rPr>
  </w:style>
  <w:style w:type="paragraph" w:customStyle="1" w:styleId="Default">
    <w:name w:val="Default"/>
    <w:rsid w:val="00F95A35"/>
    <w:pPr>
      <w:autoSpaceDE w:val="0"/>
      <w:autoSpaceDN w:val="0"/>
      <w:adjustRightInd w:val="0"/>
      <w:ind w:firstLine="0"/>
      <w:jc w:val="left"/>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792BFF"/>
    <w:pPr>
      <w:ind w:left="720"/>
      <w:contextualSpacing/>
    </w:pPr>
  </w:style>
  <w:style w:type="character" w:styleId="Hiperveza">
    <w:name w:val="Hyperlink"/>
    <w:basedOn w:val="Zadanifontodlomka"/>
    <w:uiPriority w:val="99"/>
    <w:unhideWhenUsed/>
    <w:rsid w:val="002A28DD"/>
    <w:rPr>
      <w:color w:val="0000FF" w:themeColor="hyperlink"/>
      <w:u w:val="single"/>
    </w:rPr>
  </w:style>
  <w:style w:type="character" w:styleId="Nerijeenospominjanje">
    <w:name w:val="Unresolved Mention"/>
    <w:basedOn w:val="Zadanifontodlomka"/>
    <w:uiPriority w:val="99"/>
    <w:semiHidden/>
    <w:unhideWhenUsed/>
    <w:rsid w:val="002A28DD"/>
    <w:rPr>
      <w:color w:val="605E5C"/>
      <w:shd w:val="clear" w:color="auto" w:fill="E1DFDD"/>
    </w:rPr>
  </w:style>
  <w:style w:type="character" w:customStyle="1" w:styleId="Naslov2Char">
    <w:name w:val="Naslov 2 Char"/>
    <w:basedOn w:val="Zadanifontodlomka"/>
    <w:link w:val="Naslov2"/>
    <w:uiPriority w:val="9"/>
    <w:semiHidden/>
    <w:rsid w:val="00EA5AD2"/>
    <w:rPr>
      <w:rFonts w:asciiTheme="majorHAnsi" w:eastAsiaTheme="majorEastAsia" w:hAnsiTheme="majorHAnsi" w:cstheme="majorBidi"/>
      <w:color w:val="365F91" w:themeColor="accent1" w:themeShade="BF"/>
      <w:kern w:val="2"/>
      <w:sz w:val="32"/>
      <w:szCs w:val="32"/>
      <w:lang w:val="en-US"/>
      <w14:ligatures w14:val="standardContextual"/>
    </w:rPr>
  </w:style>
  <w:style w:type="paragraph" w:customStyle="1" w:styleId="t-9-8">
    <w:name w:val="t-9-8"/>
    <w:basedOn w:val="Normal"/>
    <w:rsid w:val="00806979"/>
    <w:pPr>
      <w:spacing w:before="100" w:beforeAutospacing="1" w:after="100" w:afterAutospacing="1"/>
    </w:pPr>
    <w:rPr>
      <w:sz w:val="24"/>
      <w:szCs w:val="24"/>
    </w:rPr>
  </w:style>
  <w:style w:type="paragraph" w:styleId="StandardWeb">
    <w:name w:val="Normal (Web)"/>
    <w:basedOn w:val="Normal"/>
    <w:uiPriority w:val="99"/>
    <w:semiHidden/>
    <w:unhideWhenUsed/>
    <w:rsid w:val="00806979"/>
    <w:pPr>
      <w:spacing w:before="100" w:beforeAutospacing="1" w:after="100" w:afterAutospacing="1"/>
    </w:pPr>
    <w:rPr>
      <w:sz w:val="24"/>
      <w:szCs w:val="24"/>
      <w:lang w:val="en-US" w:eastAsia="en-US"/>
    </w:rPr>
  </w:style>
  <w:style w:type="character" w:styleId="Naglaeno">
    <w:name w:val="Strong"/>
    <w:basedOn w:val="Zadanifontodlomka"/>
    <w:uiPriority w:val="22"/>
    <w:qFormat/>
    <w:rsid w:val="00806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lacki@zapresi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C97AA-C738-4A9E-8A83-31D4747B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629</Words>
  <Characters>3586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Grad Varaždin</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Cindrić</dc:creator>
  <cp:lastModifiedBy>Alen Zlački</cp:lastModifiedBy>
  <cp:revision>32</cp:revision>
  <cp:lastPrinted>2025-03-19T08:42:00Z</cp:lastPrinted>
  <dcterms:created xsi:type="dcterms:W3CDTF">2022-10-26T10:30:00Z</dcterms:created>
  <dcterms:modified xsi:type="dcterms:W3CDTF">2026-01-27T10:03:00Z</dcterms:modified>
</cp:coreProperties>
</file>